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Project Development Agreements</w:t>
      </w:r>
    </w:p>
    <w:p>
      <w:pPr>
        <w:pStyle w:val="Normal"/>
        <w:jc w:val="center"/>
        <w:rPr>
          <w:rFonts w:ascii="Arial" w:hAnsi="Arial" w:cs="Arial"/>
          <w:b/>
          <w:sz w:val="22"/>
          <w:u w:val="single"/>
        </w:rPr>
      </w:pPr>
      <w:r>
        <w:rPr>
          <w:rFonts w:cs="Arial" w:ascii="Arial" w:hAnsi="Arial"/>
          <w:b/>
          <w:sz w:val="22"/>
          <w:u w:val="single"/>
        </w:rPr>
      </w:r>
    </w:p>
    <w:tbl>
      <w:tblPr>
        <w:tblW w:w="9018" w:type="dxa"/>
        <w:jc w:val="start"/>
        <w:tblInd w:w="0" w:type="dxa"/>
        <w:tblLayout w:type="fixed"/>
        <w:tblCellMar>
          <w:top w:w="0" w:type="dxa"/>
          <w:start w:w="108" w:type="dxa"/>
          <w:bottom w:w="0" w:type="dxa"/>
          <w:end w:w="108" w:type="dxa"/>
        </w:tblCellMar>
      </w:tblPr>
      <w:tblGrid>
        <w:gridCol w:w="4555"/>
        <w:gridCol w:w="4463"/>
      </w:tblGrid>
      <w:tr>
        <w:trPr/>
        <w:tc>
          <w:tcPr>
            <w:tcW w:w="4555" w:type="dxa"/>
            <w:tcBorders>
              <w:top w:val="single" w:sz="4" w:space="0" w:color="000000"/>
              <w:start w:val="single" w:sz="4" w:space="0" w:color="000000"/>
              <w:bottom w:val="single" w:sz="4" w:space="0" w:color="000000"/>
              <w:end w:val="single" w:sz="4" w:space="0" w:color="000000"/>
            </w:tcBorders>
          </w:tcPr>
          <w:p>
            <w:pPr>
              <w:pStyle w:val="Subtitle"/>
              <w:rPr/>
            </w:pPr>
            <w:r>
              <w:rPr/>
              <w:t>Project Developer</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Enron North America Corp.</w:t>
            </w:r>
          </w:p>
        </w:tc>
      </w:tr>
      <w:tr>
        <w:trPr/>
        <w:tc>
          <w:tcPr>
            <w:tcW w:w="4555" w:type="dxa"/>
            <w:tcBorders>
              <w:top w:val="single" w:sz="4" w:space="0" w:color="000000"/>
              <w:start w:val="single" w:sz="4" w:space="0" w:color="000000"/>
              <w:bottom w:val="single" w:sz="4" w:space="0" w:color="000000"/>
              <w:end w:val="single" w:sz="4" w:space="0" w:color="000000"/>
            </w:tcBorders>
          </w:tcPr>
          <w:p>
            <w:pPr>
              <w:pStyle w:val="Subtitle"/>
              <w:rPr/>
            </w:pPr>
            <w:r>
              <w:rPr/>
              <w:t>Contracts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Fixed price, turn key, date certain contracts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Payment</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Amount and timing of payments to be agreed upon (expect some portion payable at closing with subsequent payments made on certain specified dates)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Guaranteed Completion Date</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Moore Project                         [June 2001]</w:t>
            </w:r>
          </w:p>
          <w:p>
            <w:pPr>
              <w:pStyle w:val="Normal"/>
              <w:rPr>
                <w:rFonts w:ascii="Arial" w:hAnsi="Arial" w:cs="Arial"/>
                <w:sz w:val="22"/>
              </w:rPr>
            </w:pPr>
            <w:r>
              <w:rPr>
                <w:rFonts w:cs="Arial" w:ascii="Arial" w:hAnsi="Arial"/>
                <w:sz w:val="22"/>
              </w:rPr>
              <w:t>Las Vegas Cogeneration II     [March 2002] Pastoria Project                      [June 2003]</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Delay Liquidated Damages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 daily liquidated damage amount to be agreed upon by the parties and paid for failure to deliver by the Guaranteed Completion Date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 xml:space="preserve">Performance Tests </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Plant output and plant heat rate tests will be performed when Plant is complete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Operation before Completion</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Developer is allowed to operate Plant before completion; performance tests to get adjusted for degradation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Acceptance Tests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Acceptance tests including plant emissions test, reliability test, and other capability tests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 xml:space="preserve">Performance Liquidated Damages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BodyText"/>
              <w:rPr/>
            </w:pPr>
            <w:r>
              <w:rPr/>
              <w:t>The Project Developer will pay Performance Liquidated Damages for failure to achieve guaranteed performance levels for plant output and plant heat rate.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Liquidated damages are subject to a cap of 10% of contract price per plant (for plant output and plant heat rate individually)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Overall maximum cap on Performance Liquidated Damages = 15% of contract price per plant</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Performance Bonuses</w:t>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The Project Developer will be entitled to a bonus for exceeding guaranteed performance levels for plant output and plant heat rate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Performance Bonuses are subject to a cap of 10% of contract price per plant (for plant output and plant heat rate individually)</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Limitation of Liability</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100% of contract price (for each plant) until air permits received and construction initiated </w:t>
            </w:r>
          </w:p>
          <w:p>
            <w:pPr>
              <w:pStyle w:val="Normal"/>
              <w:rPr>
                <w:rFonts w:ascii="Arial" w:hAnsi="Arial" w:cs="Arial"/>
                <w:sz w:val="22"/>
              </w:rPr>
            </w:pPr>
            <w:r>
              <w:rPr>
                <w:rFonts w:cs="Arial" w:ascii="Arial" w:hAnsi="Arial"/>
                <w:sz w:val="22"/>
              </w:rPr>
              <w:t>Thereafter, 25% of contract price (for each plant) aggregate limit thereafter +</w:t>
            </w:r>
          </w:p>
          <w:p>
            <w:pPr>
              <w:pStyle w:val="Normal"/>
              <w:rPr>
                <w:rFonts w:ascii="Arial" w:hAnsi="Arial" w:cs="Arial"/>
                <w:sz w:val="22"/>
              </w:rPr>
            </w:pPr>
            <w:r>
              <w:rPr>
                <w:rFonts w:cs="Arial" w:ascii="Arial" w:hAnsi="Arial"/>
                <w:sz w:val="22"/>
              </w:rPr>
              <w:t>Environmental Indemnification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Environmental Indemnification</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100% for hazards caused by Developer up to six (6) months after commercial operation.  No cap</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Purchaser Approvals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Purchaser approves plans and specifications, substantial completion, punch list completion, and performance tests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Alternative Project</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0" w:after="0"/>
              <w:ind w:hanging="0" w:start="0"/>
              <w:rPr>
                <w:sz w:val="22"/>
              </w:rPr>
            </w:pPr>
            <w:r>
              <w:rPr>
                <w:sz w:val="22"/>
              </w:rPr>
              <w:t>Project Developer shall have the right to substitute an alternative project (“AP”) if it is reasonably necessary to do so.  The AP would be subject to the terms outlined above and would also have to meet certain mutually agreed upon parameters including, without limitation, the following:</w:t>
            </w:r>
          </w:p>
          <w:p>
            <w:pPr>
              <w:pStyle w:val="Normal"/>
              <w:rPr>
                <w:sz w:val="22"/>
              </w:rPr>
            </w:pPr>
            <w:r>
              <w:rPr>
                <w:sz w:val="22"/>
              </w:rPr>
            </w:r>
          </w:p>
          <w:p>
            <w:pPr>
              <w:pStyle w:val="BodyText"/>
              <w:rPr/>
            </w:pPr>
            <w:r>
              <w:rPr/>
              <w:t>The AP would have to:</w:t>
            </w:r>
          </w:p>
          <w:p>
            <w:pPr>
              <w:pStyle w:val="Normal"/>
              <w:rPr>
                <w:sz w:val="22"/>
              </w:rPr>
            </w:pPr>
            <w:r>
              <w:rPr>
                <w:sz w:val="22"/>
              </w:rPr>
            </w:r>
          </w:p>
          <w:p>
            <w:pPr>
              <w:pStyle w:val="Heading3"/>
              <w:numPr>
                <w:ilvl w:val="0"/>
                <w:numId w:val="3"/>
              </w:numPr>
              <w:spacing w:before="0" w:after="0"/>
              <w:rPr>
                <w:sz w:val="22"/>
              </w:rPr>
            </w:pPr>
            <w:r>
              <w:rPr>
                <w:sz w:val="22"/>
              </w:rPr>
              <w:t>Yield an internal rate of return greater than or equal to the rate of return expected for the original project</w:t>
            </w:r>
          </w:p>
          <w:p>
            <w:pPr>
              <w:pStyle w:val="Heading3"/>
              <w:numPr>
                <w:ilvl w:val="0"/>
                <w:numId w:val="3"/>
              </w:numPr>
              <w:spacing w:before="0" w:after="0"/>
              <w:rPr>
                <w:sz w:val="22"/>
              </w:rPr>
            </w:pPr>
            <w:r>
              <w:rPr>
                <w:sz w:val="22"/>
              </w:rPr>
              <w:t>Be permitted to operate for an agreed upon minimum number of operating hours</w:t>
            </w:r>
          </w:p>
          <w:p>
            <w:pPr>
              <w:pStyle w:val="Normal"/>
              <w:numPr>
                <w:ilvl w:val="0"/>
                <w:numId w:val="2"/>
              </w:numPr>
              <w:tabs>
                <w:tab w:val="clear" w:pos="720"/>
                <w:tab w:val="left" w:pos="395" w:leader="none"/>
              </w:tabs>
              <w:ind w:hanging="360" w:start="395" w:end="0"/>
              <w:rPr>
                <w:rFonts w:ascii="Arial" w:hAnsi="Arial" w:cs="Arial"/>
                <w:sz w:val="22"/>
              </w:rPr>
            </w:pPr>
            <w:r>
              <w:rPr>
                <w:rFonts w:cs="Arial" w:ascii="Arial" w:hAnsi="Arial"/>
                <w:sz w:val="22"/>
              </w:rPr>
              <w:t xml:space="preserve">Have the electrical and gas interconnection agreements in place </w:t>
            </w:r>
          </w:p>
          <w:p>
            <w:pPr>
              <w:pStyle w:val="Heading3"/>
              <w:numPr>
                <w:ilvl w:val="0"/>
                <w:numId w:val="3"/>
              </w:numPr>
              <w:spacing w:before="0" w:after="0"/>
              <w:rPr>
                <w:sz w:val="22"/>
              </w:rPr>
            </w:pPr>
            <w:r>
              <w:rPr>
                <w:sz w:val="22"/>
              </w:rPr>
              <w:t>Be located in the same NERC subregion or transmission control area</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Heading3"/>
              <w:numPr>
                <w:ilvl w:val="0"/>
                <w:numId w:val="3"/>
              </w:numPr>
              <w:snapToGrid w:val="false"/>
              <w:spacing w:before="0" w:after="0"/>
              <w:rPr>
                <w:sz w:val="22"/>
              </w:rPr>
            </w:pPr>
            <w:r>
              <w:rPr>
                <w:rFonts w:cs="Arial"/>
                <w:b/>
                <w:sz w:val="22"/>
              </w:rPr>
            </w:r>
          </w:p>
        </w:tc>
      </w:tr>
    </w:tbl>
    <w:p>
      <w:pPr>
        <w:pStyle w:val="Normal"/>
        <w:rPr/>
      </w:pPr>
      <w:r>
        <w:br w:type="page"/>
      </w:r>
      <w:r>
        <w:rPr/>
      </w:r>
    </w:p>
    <w:tbl>
      <w:tblPr>
        <w:tblW w:w="9018" w:type="dxa"/>
        <w:jc w:val="start"/>
        <w:tblInd w:w="0" w:type="dxa"/>
        <w:tblLayout w:type="fixed"/>
        <w:tblCellMar>
          <w:top w:w="0" w:type="dxa"/>
          <w:start w:w="108" w:type="dxa"/>
          <w:bottom w:w="0" w:type="dxa"/>
          <w:end w:w="108" w:type="dxa"/>
        </w:tblCellMar>
      </w:tblPr>
      <w:tblGrid>
        <w:gridCol w:w="4555"/>
        <w:gridCol w:w="4463"/>
      </w:tblGrid>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Redesign of Facility</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0" w:after="0"/>
              <w:ind w:hanging="0" w:start="0"/>
              <w:rPr>
                <w:sz w:val="22"/>
              </w:rPr>
            </w:pPr>
            <w:r>
              <w:rPr>
                <w:sz w:val="22"/>
              </w:rPr>
              <w:t>Project Developer shall have the right to institute changes in the physical equipment or operating design of a plant provided that the performance guarantees remain the same and the revised facility meets certain mutually agreed upon parameters including, without limitation, the following:</w:t>
            </w:r>
          </w:p>
          <w:p>
            <w:pPr>
              <w:pStyle w:val="Heading3"/>
              <w:numPr>
                <w:ilvl w:val="0"/>
                <w:numId w:val="0"/>
              </w:numPr>
              <w:spacing w:before="0" w:after="0"/>
              <w:ind w:hanging="0" w:start="0"/>
              <w:rPr>
                <w:rFonts w:eastAsia="Arial"/>
                <w:sz w:val="22"/>
              </w:rPr>
            </w:pPr>
            <w:r>
              <w:rPr>
                <w:rFonts w:eastAsia="Arial"/>
                <w:sz w:val="22"/>
              </w:rPr>
              <w:t xml:space="preserve"> </w:t>
            </w:r>
          </w:p>
          <w:p>
            <w:pPr>
              <w:pStyle w:val="BodyText"/>
              <w:rPr/>
            </w:pPr>
            <w:r>
              <w:rPr/>
              <w:t xml:space="preserve">The revised facility would have to: </w:t>
            </w:r>
          </w:p>
          <w:p>
            <w:pPr>
              <w:pStyle w:val="Heading3"/>
              <w:numPr>
                <w:ilvl w:val="0"/>
                <w:numId w:val="3"/>
              </w:numPr>
              <w:spacing w:before="0" w:after="0"/>
              <w:rPr>
                <w:sz w:val="22"/>
              </w:rPr>
            </w:pPr>
            <w:r>
              <w:rPr>
                <w:sz w:val="22"/>
              </w:rPr>
              <w:t>Be permitted to operate for an agreed upon minimum number of operating hours</w:t>
            </w:r>
          </w:p>
          <w:p>
            <w:pPr>
              <w:pStyle w:val="Heading3"/>
              <w:numPr>
                <w:ilvl w:val="0"/>
                <w:numId w:val="3"/>
              </w:numPr>
              <w:spacing w:before="0" w:after="0"/>
              <w:rPr>
                <w:sz w:val="22"/>
              </w:rPr>
            </w:pPr>
            <w:r>
              <w:rPr>
                <w:sz w:val="22"/>
              </w:rPr>
              <w:t>Have the electrical and gas interconnection agreements in place</w:t>
            </w:r>
          </w:p>
          <w:p>
            <w:pPr>
              <w:pStyle w:val="Heading3"/>
              <w:numPr>
                <w:ilvl w:val="0"/>
                <w:numId w:val="3"/>
              </w:numPr>
              <w:spacing w:before="0" w:after="0"/>
              <w:rPr>
                <w:sz w:val="22"/>
              </w:rPr>
            </w:pPr>
            <w:r>
              <w:rPr>
                <w:sz w:val="22"/>
              </w:rPr>
              <w:t>Have the same operating parameters</w:t>
            </w:r>
          </w:p>
          <w:p>
            <w:pPr>
              <w:pStyle w:val="Heading3"/>
              <w:numPr>
                <w:ilvl w:val="0"/>
                <w:numId w:val="3"/>
              </w:numPr>
              <w:spacing w:before="0" w:after="0"/>
              <w:rPr>
                <w:sz w:val="22"/>
              </w:rPr>
            </w:pPr>
            <w:r>
              <w:rPr>
                <w:sz w:val="22"/>
              </w:rPr>
              <w:t>Be located within a certain agreed upon distance from the originally proposed location</w:t>
            </w:r>
          </w:p>
          <w:p>
            <w:pPr>
              <w:pStyle w:val="Heading3"/>
              <w:numPr>
                <w:ilvl w:val="0"/>
                <w:numId w:val="0"/>
              </w:numPr>
              <w:spacing w:before="0" w:after="0"/>
              <w:ind w:hanging="0" w:start="0"/>
              <w:rPr>
                <w:sz w:val="22"/>
              </w:rPr>
            </w:pPr>
            <w:r>
              <w:rPr>
                <w:sz w:val="22"/>
              </w:rPr>
            </w:r>
          </w:p>
          <w:p>
            <w:pPr>
              <w:pStyle w:val="Normal"/>
              <w:rPr>
                <w:rFonts w:ascii="Arial" w:hAnsi="Arial" w:cs="Arial"/>
                <w:sz w:val="22"/>
              </w:rPr>
            </w:pPr>
            <w:r>
              <w:rPr>
                <w:rFonts w:cs="Arial" w:ascii="Arial" w:hAnsi="Arial"/>
                <w:sz w:val="22"/>
              </w:rPr>
              <w:t>In addition, the fixed price payable to the Project Developer shall be reduced to the extent necessary to compensate for any increase in operating costs which arises from the redesign.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Warranty</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12 months from the date of substantial completion for good workmanship</w:t>
            </w:r>
          </w:p>
        </w:tc>
      </w:tr>
    </w:tbl>
    <w:p>
      <w:pPr>
        <w:pStyle w:val="Normal"/>
        <w:rPr>
          <w:rFonts w:ascii="Arial" w:hAnsi="Arial" w:cs="Arial"/>
          <w:sz w:val="22"/>
        </w:rPr>
      </w:pPr>
      <w:r>
        <w:rPr>
          <w:rFonts w:cs="Arial" w:ascii="Arial" w:hAnsi="Arial"/>
          <w:sz w:val="22"/>
        </w:rPr>
      </w:r>
    </w:p>
    <w:sectPr>
      <w:headerReference w:type="default" r:id="rId2"/>
      <w:footerReference w:type="default" r:id="rId3"/>
      <w:type w:val="nextPage"/>
      <w:pgSz w:w="12240" w:h="15840"/>
      <w:pgMar w:left="1440" w:right="1440" w:gutter="0" w:header="1872" w:top="1928" w:footer="47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/mnt/main-storage/datasets/enron-docs/doc/E2_PDA_TERM_SHEET_v2.doc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2"/>
      </w:rPr>
    </w:pPr>
    <w:r>
      <w:rPr>
        <w:rFonts w:cs="Arial" w:ascii="Arial" w:hAnsi="Arial"/>
        <w:b/>
        <w:sz w:val="22"/>
      </w:rPr>
      <w:t>DRAFT: FOR REVIEW AND DISCUSSION PURPOSES ONLY</w:t>
    </w:r>
  </w:p>
  <w:p>
    <w:pPr>
      <w:pStyle w:val="Header"/>
      <w:jc w:val="end"/>
      <w:rPr>
        <w:rFonts w:ascii="Arial" w:hAnsi="Arial" w:cs="Arial"/>
        <w:b/>
        <w:sz w:val="22"/>
      </w:rPr>
    </w:pPr>
    <w:r>
      <w:rPr>
        <w:rFonts w:cs="Arial" w:ascii="Arial" w:hAnsi="Arial"/>
        <w:b/>
        <w:sz w:val="22"/>
      </w:rPr>
    </w:r>
  </w:p>
  <w:p>
    <w:pPr>
      <w:pStyle w:val="Header"/>
      <w:jc w:val="end"/>
      <w:rPr>
        <w:b/>
      </w:rPr>
    </w:pPr>
    <w:r>
      <w:rPr>
        <w:b/>
      </w:rPr>
    </w:r>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paragraph" w:styleId="Heading3">
    <w:name w:val="heading 3"/>
    <w:basedOn w:val="Normal"/>
    <w:next w:val="Normal"/>
    <w:qFormat/>
    <w:pPr>
      <w:keepNext w:val="true"/>
      <w:numPr>
        <w:ilvl w:val="0"/>
        <w:numId w:val="4"/>
      </w:numPr>
      <w:spacing w:before="240" w:after="60"/>
      <w:outlineLvl w:val="2"/>
    </w:pPr>
    <w:rPr>
      <w:rFonts w:ascii="Arial" w:hAnsi="Arial" w:cs="Arial"/>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u w:val="single"/>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2000-05-17T12:48:00Z</dcterms:created>
  <dc:creator>lnoske</dc:creator>
  <dc:description/>
  <dc:language>en-CA</dc:language>
  <cp:lastModifiedBy>Ben Rogers</cp:lastModifiedBy>
  <cp:lastPrinted>2000-05-17T11:36:00Z</cp:lastPrinted>
  <dcterms:modified xsi:type="dcterms:W3CDTF">2000-05-17T14:19:00Z</dcterms:modified>
  <cp:revision>12</cp:revision>
  <dc:subject/>
  <dc:title>Project Development Agreements</dc:title>
</cp:coreProperties>
</file>