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Short Answer Questions</w:t>
      </w:r>
    </w:p>
    <w:p>
      <w:pPr>
        <w:pStyle w:val="BodyTextIndent"/>
        <w:rPr>
          <w:i/>
          <w:i/>
          <w:iCs/>
        </w:rPr>
      </w:pPr>
      <w:r>
        <w:rPr>
          <w:i/>
          <w:iCs/>
        </w:rPr>
        <w:t xml:space="preserve">I.a.  </w:t>
        <w:tab/>
        <w:t>Describe the characteristics of A-1 (AAA) and IO bonds in HLTV bonds deals.  Are prepayments by strong credit, low coupon borrowers good for these investments?</w:t>
      </w:r>
    </w:p>
    <w:p>
      <w:pPr>
        <w:pStyle w:val="BodyTextIndent"/>
        <w:rPr>
          <w:i/>
          <w:i/>
          <w:iCs/>
        </w:rPr>
      </w:pPr>
      <w:r>
        <w:rPr>
          <w:i/>
          <w:iCs/>
        </w:rPr>
      </w:r>
    </w:p>
    <w:p>
      <w:pPr>
        <w:pStyle w:val="BodyTextIndent"/>
        <w:ind w:firstLine="720" w:start="0" w:end="0"/>
        <w:rPr/>
      </w:pPr>
      <w:r>
        <w:rPr/>
        <w:t>In general, the A-1 class is among the most secure, if the not the most secure, class of certificates in the securitization.  In the waterfall, or cascading, payout structure that is typical of this sort of securitization, the A-1 class receives interest and principal payments until the balance of the certificate class is paid off.  Moreover, the A-1 class receives those payments prior to the distribution of cash flows to other classes of certificates.</w:t>
      </w:r>
    </w:p>
    <w:p>
      <w:pPr>
        <w:pStyle w:val="BodyTextIndent"/>
        <w:ind w:firstLine="720" w:start="0" w:end="0"/>
        <w:rPr/>
      </w:pPr>
      <w:r>
        <w:rPr/>
        <w:t>Due to this relatively secure position vis-à-vis other classes of certificates, holders of the A-1 class of certificates can generally expect to receive the full balance of their principal with little risk.  In addition, the A-1 class is generally a “short bond,” since the A-1 certificates enjoy a place at the “head of the line” with respect to the receipt of cash flows from the underlying collateral.  That is, the principal balance is generally paid off at a relatively rapid pace.</w:t>
      </w:r>
    </w:p>
    <w:p>
      <w:pPr>
        <w:pStyle w:val="BodyTextIndent"/>
        <w:ind w:firstLine="720" w:start="0" w:end="0"/>
        <w:rPr/>
      </w:pPr>
      <w:r>
        <w:rPr/>
        <w:t xml:space="preserve">The IO piece included in the FirstPlus deal is a “residual interest certificate.”  These certificates pay interest only.  The interest is usually calculated from a “notional” balance, which is derived from the balances of the other certificates created from the underlying collateral.  </w:t>
      </w:r>
    </w:p>
    <w:p>
      <w:pPr>
        <w:pStyle w:val="BodyTextIndent"/>
        <w:ind w:firstLine="720" w:start="0" w:end="0"/>
        <w:rPr/>
      </w:pPr>
      <w:r>
        <w:rPr/>
        <w:t>As a “residual” certificate, the class—and its holders—are at the “back of the line” when it comes to claim on cash flows.  In general, the holders of the residual interest certificates receive interest payments only after the principal balance of the more senior bonds—and the interest due on outstanding balances—have been paid down.</w:t>
      </w:r>
    </w:p>
    <w:p>
      <w:pPr>
        <w:pStyle w:val="BodyTextIndent"/>
        <w:ind w:firstLine="720" w:start="0" w:end="0"/>
        <w:rPr/>
      </w:pPr>
      <w:r>
        <w:rPr/>
        <w:t>Prepayments by strong-credit, low coupon borrowers are not likely to harm the holders of the A-1 class of certificates.  Such prepayments are generally bad for the holders of the IO class of certificates.  First, as mentioned above, the A-1 certificates generally turn out to be “short bonds.”  As such, prepayments may not appreciably increase the pay-down of balances on these bonds, though there is some re-investment risk with highly accelerated prepayments.</w:t>
      </w:r>
    </w:p>
    <w:p>
      <w:pPr>
        <w:pStyle w:val="BodyTextIndent"/>
        <w:ind w:firstLine="720" w:start="0" w:end="0"/>
        <w:rPr/>
      </w:pPr>
      <w:r>
        <w:rPr/>
        <w:t>But for the residual interest certificates the accelerated prepayment can harm certificate holders for several reasons.  First, the smaller the outstanding balance on the pool, the smaller are the interest payments.  And if the interest payments are small enough, the residual IO certificate holder may not recover her initial investment. If the prepayments are big enough, the holder of the IO certificate may never see any interest payments.  In short, the investor runs the risk of sizable losses.</w:t>
      </w:r>
    </w:p>
    <w:p>
      <w:pPr>
        <w:pStyle w:val="BodyTextIndent"/>
        <w:ind w:firstLine="720" w:start="0" w:end="0"/>
        <w:rPr/>
      </w:pPr>
      <w:r>
        <w:rPr/>
        <w:t>Moreover, the risk to the holder of IO certificate increases if those who do prepay represent the strong-credit, low coupons borrowers.  Once the strong-credit, low coupon borrows have prepaid, the risk of default on the remaining balances increases.  Accelerated default will further increase prepayments, which in turn further increases the risk of a significantly decreased yield—or worse, a loss—for the holders of the residual IO certificates.</w:t>
      </w:r>
      <w:r>
        <w:br w:type="page"/>
      </w:r>
    </w:p>
    <w:p>
      <w:pPr>
        <w:pStyle w:val="BodyTextIndent"/>
        <w:rPr>
          <w:i/>
          <w:i/>
          <w:iCs/>
        </w:rPr>
      </w:pPr>
      <w:r>
        <w:rPr>
          <w:i/>
          <w:iCs/>
        </w:rPr>
        <w:t>I.b.</w:t>
        <w:tab/>
        <w:t>Carefully define “moral hazard.”  Discuss how it could arise in the FirstPlus or Rock CMBS case discussed in class.  Suggest a possible contractual solution that might lessen the risk of moral hazard.</w:t>
      </w:r>
    </w:p>
    <w:p>
      <w:pPr>
        <w:pStyle w:val="BodyTextIndent"/>
        <w:rPr/>
      </w:pPr>
      <w:r>
        <w:rPr/>
      </w:r>
    </w:p>
    <w:p>
      <w:pPr>
        <w:pStyle w:val="BodyTextIndent"/>
        <w:ind w:firstLine="720" w:start="0" w:end="0"/>
        <w:rPr/>
      </w:pPr>
      <w:r>
        <w:rPr/>
        <w:t>“</w:t>
      </w:r>
      <w:r>
        <w:rPr/>
        <w:t>Moral hazard” generally refers to a situation in which several conditions are apparent.  First, the incentives faced by the transacting parties are not aligned.  Second, as mentioned in the question, an asymmetry of information exists between the transacting parties; that is, parties do not possess the same information regarding the potential transaction.  And third, it is difficult to monitor and/or determine whether the counter-party is fulfilling the terms of the contract.</w:t>
      </w:r>
    </w:p>
    <w:p>
      <w:pPr>
        <w:pStyle w:val="BodyTextIndent"/>
        <w:ind w:firstLine="720" w:start="0" w:end="0"/>
        <w:rPr/>
      </w:pPr>
      <w:r>
        <w:rPr/>
        <w:t xml:space="preserve">In the case of FirstPlus, one example of moral hazard arises with respect to the risk of prepayment and default in the securitizations marketed by FirstPlus.  First, the incentives faced by FirstPlus and investors are not well aligned.  FirstPlus has a very strong incentive to grow its business by pooling as many HLTV mortgages as possible for eventual securitization.  Investors on the other hand have an interest in high-quality loans and an incentive to achieve the highest yield possible on their investment.  </w:t>
      </w:r>
    </w:p>
    <w:p>
      <w:pPr>
        <w:pStyle w:val="BodyTextIndent"/>
        <w:ind w:firstLine="720" w:start="0" w:end="0"/>
        <w:rPr/>
      </w:pPr>
      <w:r>
        <w:rPr/>
        <w:t>In the context of the FirstPlus’ HLTV-focused business model, prepayment and default represent a very significant risk for investors.  In this regard, there is a significant asymmetry of information between FirstPlus and investors.  FirstPlus has considerably more information with respect to the likelihood of prepayment and default than investors do.  In addition, FirstPlus arguably has an incentive to make forecasts of prepayments and default more “rosey” than may in fact be the case. That is, FirstPlus has the incentive to downplay the risk of prepayment and default for investors.  It would be extremely difficult for investors to assess, i.e., monitor, the voracity of FirstPlus’ assertions regarding prepayments and default.</w:t>
      </w:r>
    </w:p>
    <w:p>
      <w:pPr>
        <w:pStyle w:val="BodyTextIndent"/>
        <w:ind w:firstLine="720" w:start="0" w:end="0"/>
        <w:rPr/>
      </w:pPr>
      <w:r>
        <w:rPr/>
        <w:t>To lessen the risk of moral hazard in the case of FirstPlus and other similar securitizations, regulators or potential investors might pursue a requirement that FirstPlus retain an independent third-party to verify FirstPlus’ forecasts of prepayment and default. Equally important, regulators and/or investors might also require FirstPlus to include the third-party analysis in the securitization prospectus.  At a minimum, the prospectus might include a statement by the third-party auditor that the auditor has closely examined the assumptions, model and analysis used by FirstPlus (in this case). The auditor could also attest that the assumptions, model and analysis are reasonable and that investors can reasonably rely upon them.  This approach could be expensive, however, increasing the cost of investing in these types of securities.</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Jeff Dasovich</w:t>
    </w:r>
  </w:p>
  <w:p>
    <w:pPr>
      <w:pStyle w:val="Header"/>
      <w:jc w:val="end"/>
      <w:rPr>
        <w:sz w:val="20"/>
      </w:rPr>
    </w:pPr>
    <w:r>
      <w:rPr>
        <w:sz w:val="20"/>
      </w:rPr>
      <w:t>E283/Professor Wallace</w:t>
    </w:r>
  </w:p>
  <w:p>
    <w:pPr>
      <w:pStyle w:val="Header"/>
      <w:jc w:val="end"/>
      <w:rPr>
        <w:sz w:val="20"/>
      </w:rPr>
    </w:pPr>
    <w:r>
      <w:rPr>
        <w:sz w:val="20"/>
      </w:rPr>
      <w:t>Final Exam</w:t>
    </w:r>
  </w:p>
  <w:p>
    <w:pPr>
      <w:pStyle w:val="Header"/>
      <w:jc w:val="end"/>
      <w:rPr>
        <w:sz w:val="20"/>
      </w:rPr>
    </w:pPr>
    <w:r>
      <w:rPr>
        <w:sz w:val="20"/>
      </w:rPr>
      <w:t>Short Answer Questions</w:t>
    </w:r>
  </w:p>
  <w:p>
    <w:pPr>
      <w:pStyle w:val="Header"/>
      <w:jc w:val="end"/>
      <w:rPr>
        <w:sz w:val="20"/>
      </w:rPr>
    </w:pPr>
    <w:r>
      <w:rPr>
        <w:sz w:val="20"/>
      </w:rPr>
      <w:t>December 10, 2001</w:t>
    </w:r>
  </w:p>
  <w:p>
    <w:pPr>
      <w:pStyle w:val="Header"/>
      <w:jc w:val="end"/>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2001-12-11T14:35:00Z</dcterms:created>
  <dc:creator>Jeffrey Owen Dasovic</dc:creator>
  <dc:description/>
  <dc:language>en-CA</dc:language>
  <cp:lastModifiedBy>jdasovic</cp:lastModifiedBy>
  <cp:lastPrinted>2001-12-11T13:35:00Z</cp:lastPrinted>
  <dcterms:modified xsi:type="dcterms:W3CDTF">2001-12-11T20:46:00Z</dcterms:modified>
  <cp:revision>10</cp:revision>
  <dc:subject/>
  <dc:title>Short Answer Questions</dc:title>
</cp:coreProperties>
</file>