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TAKE HOME MIDTERM—PART I</w:t>
      </w:r>
    </w:p>
    <w:p>
      <w:pPr>
        <w:pStyle w:val="Heading"/>
        <w:rPr>
          <w:b w:val="false"/>
          <w:bCs w:val="false"/>
          <w:u w:val="none"/>
        </w:rPr>
      </w:pPr>
      <w:r>
        <w:rPr/>
        <w:t>MINISCRIBE CASE</w:t>
      </w:r>
    </w:p>
    <w:p>
      <w:pPr>
        <w:pStyle w:val="Heading"/>
        <w:rPr>
          <w:b w:val="false"/>
          <w:bCs w:val="false"/>
          <w:u w:val="none"/>
        </w:rPr>
      </w:pPr>
      <w:r>
        <w:rPr>
          <w:b w:val="false"/>
          <w:bCs w:val="false"/>
          <w:u w:val="none"/>
        </w:rPr>
      </w:r>
    </w:p>
    <w:p>
      <w:pPr>
        <w:pStyle w:val="Heading"/>
        <w:jc w:val="start"/>
        <w:rPr>
          <w:b w:val="false"/>
          <w:bCs w:val="false"/>
          <w:u w:val="none"/>
        </w:rPr>
      </w:pPr>
      <w:r>
        <w:rPr>
          <w:i/>
          <w:iCs/>
          <w:u w:val="none"/>
        </w:rPr>
        <w:t>Question 1</w:t>
      </w:r>
    </w:p>
    <w:p>
      <w:pPr>
        <w:pStyle w:val="Heading"/>
        <w:jc w:val="start"/>
        <w:rPr>
          <w:b w:val="false"/>
          <w:bCs w:val="false"/>
          <w:u w:val="none"/>
        </w:rPr>
      </w:pPr>
      <w:r>
        <w:rPr>
          <w:b w:val="false"/>
          <w:bCs w:val="false"/>
          <w:u w:val="none"/>
        </w:rPr>
      </w:r>
    </w:p>
    <w:p>
      <w:pPr>
        <w:pStyle w:val="Heading"/>
        <w:jc w:val="start"/>
        <w:rPr>
          <w:b w:val="false"/>
          <w:bCs w:val="false"/>
          <w:u w:val="none"/>
        </w:rPr>
      </w:pPr>
      <w:r>
        <w:rPr>
          <w:b w:val="false"/>
          <w:bCs w:val="false"/>
          <w:u w:val="none"/>
        </w:rPr>
        <w:tab/>
        <w:t>See page 1 of attached worksheet.</w:t>
      </w:r>
    </w:p>
    <w:p>
      <w:pPr>
        <w:pStyle w:val="Heading"/>
        <w:jc w:val="start"/>
        <w:rPr>
          <w:b w:val="false"/>
          <w:bCs w:val="false"/>
          <w:u w:val="none"/>
        </w:rPr>
      </w:pPr>
      <w:r>
        <w:rPr>
          <w:b w:val="false"/>
          <w:bCs w:val="false"/>
          <w:u w:val="none"/>
        </w:rPr>
      </w:r>
    </w:p>
    <w:p>
      <w:pPr>
        <w:pStyle w:val="Heading"/>
        <w:jc w:val="start"/>
        <w:rPr>
          <w:i/>
          <w:i/>
          <w:iCs/>
          <w:u w:val="none"/>
        </w:rPr>
      </w:pPr>
      <w:r>
        <w:rPr>
          <w:i/>
          <w:iCs/>
          <w:u w:val="none"/>
        </w:rPr>
        <w:t>Question 2</w:t>
      </w:r>
    </w:p>
    <w:p>
      <w:pPr>
        <w:pStyle w:val="Heading"/>
        <w:jc w:val="start"/>
        <w:rPr>
          <w:b w:val="false"/>
          <w:bCs w:val="false"/>
          <w:i/>
          <w:i/>
          <w:iCs/>
          <w:u w:val="none"/>
        </w:rPr>
      </w:pPr>
      <w:r>
        <w:rPr>
          <w:b w:val="false"/>
          <w:bCs w:val="false"/>
          <w:i/>
          <w:iCs/>
          <w:u w:val="none"/>
        </w:rPr>
      </w:r>
    </w:p>
    <w:p>
      <w:pPr>
        <w:pStyle w:val="Heading"/>
        <w:jc w:val="start"/>
        <w:rPr>
          <w:b w:val="false"/>
          <w:bCs w:val="false"/>
          <w:u w:val="none"/>
        </w:rPr>
      </w:pPr>
      <w:r>
        <w:rPr>
          <w:b w:val="false"/>
          <w:bCs w:val="false"/>
          <w:u w:val="none"/>
        </w:rPr>
        <w:tab/>
        <w:t>See pages 2 and 3 of attached worksheet.</w:t>
      </w:r>
    </w:p>
    <w:p>
      <w:pPr>
        <w:pStyle w:val="Heading"/>
        <w:jc w:val="start"/>
        <w:rPr>
          <w:b w:val="false"/>
          <w:bCs w:val="false"/>
          <w:u w:val="none"/>
        </w:rPr>
      </w:pPr>
      <w:r>
        <w:rPr>
          <w:b w:val="false"/>
          <w:bCs w:val="false"/>
          <w:u w:val="none"/>
        </w:rPr>
      </w:r>
    </w:p>
    <w:p>
      <w:pPr>
        <w:pStyle w:val="Heading"/>
        <w:jc w:val="start"/>
        <w:rPr>
          <w:b w:val="false"/>
          <w:bCs w:val="false"/>
          <w:u w:val="none"/>
        </w:rPr>
      </w:pPr>
      <w:r>
        <w:rPr>
          <w:i/>
          <w:iCs/>
          <w:u w:val="none"/>
        </w:rPr>
        <w:t>Question 3</w:t>
      </w:r>
    </w:p>
    <w:p>
      <w:pPr>
        <w:pStyle w:val="Heading"/>
        <w:jc w:val="start"/>
        <w:rPr>
          <w:b w:val="false"/>
          <w:bCs w:val="false"/>
          <w:u w:val="none"/>
        </w:rPr>
      </w:pPr>
      <w:r>
        <w:rPr>
          <w:b w:val="false"/>
          <w:bCs w:val="false"/>
          <w:u w:val="none"/>
        </w:rPr>
      </w:r>
    </w:p>
    <w:p>
      <w:pPr>
        <w:pStyle w:val="Heading"/>
        <w:ind w:firstLine="720" w:end="0"/>
        <w:jc w:val="start"/>
        <w:rPr>
          <w:b w:val="false"/>
          <w:bCs w:val="false"/>
          <w:u w:val="none"/>
        </w:rPr>
      </w:pPr>
      <w:r>
        <w:rPr>
          <w:b w:val="false"/>
          <w:bCs w:val="false"/>
          <w:u w:val="none"/>
        </w:rPr>
        <w:t xml:space="preserve">There are many red flags.  As the table included below shows, the financial ratios computed for Miniscribe for the first three quarters of 1988 compare very unfavorably with ratios computed for the industry.  For example, with respect to liquidity ratios, the industry’s quick and current ratios are in some cases twice those of Miniscribe’s.  At the same time, Miniscribe’s current and total average liabilities as a proportion of net worth exceed the industry ratios significantly.  Moreover, while both ratios—current and total average liabilities to net worth—have decreased for the industry over the past three quarters, Miniscribes have increased substantially.  Miniscribes liquidity is therefore a concern, particularly when compared to the industry.  </w:t>
      </w:r>
    </w:p>
    <w:p>
      <w:pPr>
        <w:pStyle w:val="Heading"/>
        <w:ind w:firstLine="720" w:end="0"/>
        <w:jc w:val="start"/>
        <w:rPr>
          <w:b w:val="false"/>
          <w:bCs w:val="false"/>
          <w:u w:val="none"/>
        </w:rPr>
      </w:pPr>
      <w:r>
        <w:rPr>
          <w:b w:val="false"/>
          <w:bCs w:val="false"/>
          <w:u w:val="none"/>
        </w:rPr>
      </w:r>
    </w:p>
    <w:p>
      <w:pPr>
        <w:pStyle w:val="Heading"/>
        <w:ind w:firstLine="720" w:end="0"/>
        <w:jc w:val="start"/>
        <w:rPr>
          <w:b w:val="false"/>
          <w:bCs w:val="false"/>
          <w:u w:val="none"/>
        </w:rPr>
      </w:pPr>
      <w:r>
        <w:rPr>
          <w:b w:val="false"/>
          <w:bCs w:val="false"/>
          <w:u w:val="none"/>
        </w:rPr>
        <w:t xml:space="preserve">Miniscribe’s balance sheet and statement of cash flows accentuate this concern.  Miniscribe’s accounts receivable, accounts payable and inventory accounts increased substantially from the second to the third quarter.  And while the trend in receivables, payables and inventory ratios has been in the right direction, the ratios nonetheless continue to exceed industry ratios by a very wide margin.  </w:t>
      </w:r>
    </w:p>
    <w:p>
      <w:pPr>
        <w:pStyle w:val="Heading"/>
        <w:ind w:firstLine="720" w:end="0"/>
        <w:jc w:val="start"/>
        <w:rPr>
          <w:b w:val="false"/>
          <w:bCs w:val="false"/>
          <w:u w:val="none"/>
        </w:rPr>
      </w:pPr>
      <w:r>
        <w:rPr>
          <w:b w:val="false"/>
          <w:bCs w:val="false"/>
          <w:u w:val="none"/>
        </w:rPr>
      </w:r>
    </w:p>
    <w:p>
      <w:pPr>
        <w:pStyle w:val="Heading"/>
        <w:ind w:firstLine="720" w:end="0"/>
        <w:jc w:val="start"/>
        <w:rPr>
          <w:b w:val="false"/>
          <w:bCs w:val="false"/>
          <w:u w:val="none"/>
        </w:rPr>
      </w:pPr>
      <w:r>
        <w:rPr>
          <w:b w:val="false"/>
          <w:bCs w:val="false"/>
          <w:u w:val="none"/>
        </w:rPr>
        <w:t>The poor showing has had a negative effect on Miniscribe’s cash flow.  Both receivables and payables turnover ratios increased from the second to the third quarter, which suggests that Miniscribe may have been forced to relax credit terms to its customers and may be having difficulty paying its suppliers.  In the face of increasingly stiff competition, these trends are disturbing.</w:t>
      </w:r>
      <w:r>
        <w:br w:type="page"/>
      </w:r>
    </w:p>
    <w:p>
      <w:pPr>
        <w:pStyle w:val="Heading"/>
        <w:ind w:firstLine="720" w:end="0"/>
        <w:jc w:val="start"/>
        <w:rPr>
          <w:b w:val="false"/>
          <w:bCs w:val="false"/>
          <w:u w:val="none"/>
        </w:rPr>
      </w:pPr>
      <w:r>
        <w:rPr>
          <w:b w:val="false"/>
          <w:bCs w:val="false"/>
          <w:u w:val="none"/>
        </w:rPr>
      </w:r>
    </w:p>
    <w:tbl>
      <w:tblPr>
        <w:tblW w:w="9324" w:type="dxa"/>
        <w:jc w:val="start"/>
        <w:tblInd w:w="0" w:type="dxa"/>
        <w:tblLayout w:type="fixed"/>
        <w:tblCellMar>
          <w:top w:w="0" w:type="dxa"/>
          <w:start w:w="108" w:type="dxa"/>
          <w:bottom w:w="0" w:type="dxa"/>
          <w:end w:w="108" w:type="dxa"/>
        </w:tblCellMar>
      </w:tblPr>
      <w:tblGrid>
        <w:gridCol w:w="2088"/>
        <w:gridCol w:w="1260"/>
        <w:gridCol w:w="1110"/>
        <w:gridCol w:w="1323"/>
        <w:gridCol w:w="1110"/>
        <w:gridCol w:w="1323"/>
        <w:gridCol w:w="1110"/>
      </w:tblGrid>
      <w:tr>
        <w:trPr/>
        <w:tc>
          <w:tcPr>
            <w:tcW w:w="2088"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sz w:val="20"/>
                <w:u w:val="none"/>
              </w:rPr>
            </w:pPr>
            <w:r>
              <w:rPr>
                <w:b w:val="false"/>
                <w:bCs w:val="false"/>
                <w:sz w:val="20"/>
                <w:u w:val="none"/>
              </w:rPr>
            </w:r>
          </w:p>
        </w:tc>
        <w:tc>
          <w:tcPr>
            <w:tcW w:w="1260" w:type="dxa"/>
            <w:tcBorders>
              <w:top w:val="single" w:sz="4" w:space="0" w:color="000000"/>
              <w:start w:val="single" w:sz="4" w:space="0" w:color="000000"/>
              <w:bottom w:val="single" w:sz="4" w:space="0" w:color="000000"/>
              <w:end w:val="single" w:sz="4" w:space="0" w:color="000000"/>
            </w:tcBorders>
          </w:tcPr>
          <w:p>
            <w:pPr>
              <w:pStyle w:val="Heading"/>
              <w:rPr>
                <w:sz w:val="20"/>
                <w:u w:val="none"/>
              </w:rPr>
            </w:pPr>
            <w:r>
              <w:rPr>
                <w:sz w:val="20"/>
                <w:u w:val="none"/>
              </w:rPr>
              <w:t>Miniscribe</w:t>
            </w:r>
          </w:p>
        </w:tc>
        <w:tc>
          <w:tcPr>
            <w:tcW w:w="1110" w:type="dxa"/>
            <w:tcBorders>
              <w:top w:val="single" w:sz="4" w:space="0" w:color="000000"/>
              <w:start w:val="single" w:sz="4" w:space="0" w:color="000000"/>
              <w:bottom w:val="single" w:sz="4" w:space="0" w:color="000000"/>
              <w:end w:val="single" w:sz="4" w:space="0" w:color="000000"/>
            </w:tcBorders>
          </w:tcPr>
          <w:p>
            <w:pPr>
              <w:pStyle w:val="Heading"/>
              <w:rPr>
                <w:sz w:val="20"/>
                <w:u w:val="none"/>
              </w:rPr>
            </w:pPr>
            <w:r>
              <w:rPr>
                <w:sz w:val="20"/>
                <w:u w:val="none"/>
              </w:rPr>
              <w:t>Industry</w:t>
            </w:r>
          </w:p>
        </w:tc>
        <w:tc>
          <w:tcPr>
            <w:tcW w:w="1323" w:type="dxa"/>
            <w:tcBorders>
              <w:top w:val="single" w:sz="4" w:space="0" w:color="000000"/>
              <w:start w:val="single" w:sz="4" w:space="0" w:color="000000"/>
              <w:bottom w:val="single" w:sz="4" w:space="0" w:color="000000"/>
              <w:end w:val="single" w:sz="4" w:space="0" w:color="000000"/>
            </w:tcBorders>
          </w:tcPr>
          <w:p>
            <w:pPr>
              <w:pStyle w:val="Heading"/>
              <w:rPr>
                <w:sz w:val="20"/>
                <w:u w:val="none"/>
              </w:rPr>
            </w:pPr>
            <w:r>
              <w:rPr>
                <w:sz w:val="20"/>
                <w:u w:val="none"/>
              </w:rPr>
              <w:t>Miniscribe</w:t>
            </w:r>
          </w:p>
        </w:tc>
        <w:tc>
          <w:tcPr>
            <w:tcW w:w="1110" w:type="dxa"/>
            <w:tcBorders>
              <w:top w:val="single" w:sz="4" w:space="0" w:color="000000"/>
              <w:start w:val="single" w:sz="4" w:space="0" w:color="000000"/>
              <w:bottom w:val="single" w:sz="4" w:space="0" w:color="000000"/>
              <w:end w:val="single" w:sz="4" w:space="0" w:color="000000"/>
            </w:tcBorders>
          </w:tcPr>
          <w:p>
            <w:pPr>
              <w:pStyle w:val="Heading"/>
              <w:rPr>
                <w:sz w:val="20"/>
                <w:u w:val="none"/>
              </w:rPr>
            </w:pPr>
            <w:r>
              <w:rPr>
                <w:sz w:val="20"/>
                <w:u w:val="none"/>
              </w:rPr>
              <w:t>Industry</w:t>
            </w:r>
          </w:p>
        </w:tc>
        <w:tc>
          <w:tcPr>
            <w:tcW w:w="1323" w:type="dxa"/>
            <w:tcBorders>
              <w:top w:val="single" w:sz="4" w:space="0" w:color="000000"/>
              <w:start w:val="single" w:sz="4" w:space="0" w:color="000000"/>
              <w:bottom w:val="single" w:sz="4" w:space="0" w:color="000000"/>
              <w:end w:val="single" w:sz="4" w:space="0" w:color="000000"/>
            </w:tcBorders>
          </w:tcPr>
          <w:p>
            <w:pPr>
              <w:pStyle w:val="Heading"/>
              <w:rPr>
                <w:sz w:val="20"/>
                <w:u w:val="none"/>
              </w:rPr>
            </w:pPr>
            <w:r>
              <w:rPr>
                <w:sz w:val="20"/>
                <w:u w:val="none"/>
              </w:rPr>
              <w:t>Miniscribe</w:t>
            </w:r>
          </w:p>
        </w:tc>
        <w:tc>
          <w:tcPr>
            <w:tcW w:w="1110" w:type="dxa"/>
            <w:tcBorders>
              <w:top w:val="single" w:sz="4" w:space="0" w:color="000000"/>
              <w:start w:val="single" w:sz="4" w:space="0" w:color="000000"/>
              <w:bottom w:val="single" w:sz="4" w:space="0" w:color="000000"/>
              <w:end w:val="single" w:sz="4" w:space="0" w:color="000000"/>
            </w:tcBorders>
          </w:tcPr>
          <w:p>
            <w:pPr>
              <w:pStyle w:val="Heading"/>
              <w:rPr>
                <w:sz w:val="20"/>
                <w:u w:val="none"/>
              </w:rPr>
            </w:pPr>
            <w:r>
              <w:rPr>
                <w:sz w:val="20"/>
                <w:u w:val="none"/>
              </w:rPr>
              <w:t>Industry</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i/>
                <w:i/>
                <w:iCs/>
                <w:sz w:val="20"/>
                <w:u w:val="none"/>
              </w:rPr>
            </w:pPr>
            <w:r>
              <w:rPr>
                <w:b w:val="false"/>
                <w:bCs w:val="false"/>
                <w:i/>
                <w:iCs/>
                <w:sz w:val="20"/>
                <w:u w:val="none"/>
              </w:rPr>
              <w:t>LIQUIDITY RATIOS</w:t>
            </w:r>
          </w:p>
        </w:tc>
        <w:tc>
          <w:tcPr>
            <w:tcW w:w="1260" w:type="dxa"/>
            <w:tcBorders>
              <w:top w:val="single" w:sz="4" w:space="0" w:color="000000"/>
              <w:start w:val="single" w:sz="4" w:space="0" w:color="000000"/>
              <w:bottom w:val="single" w:sz="4" w:space="0" w:color="000000"/>
              <w:end w:val="single" w:sz="4" w:space="0" w:color="000000"/>
            </w:tcBorders>
          </w:tcPr>
          <w:p>
            <w:pPr>
              <w:pStyle w:val="Heading"/>
              <w:rPr>
                <w:b w:val="false"/>
                <w:bCs w:val="false"/>
                <w:i/>
                <w:i/>
                <w:iCs/>
                <w:sz w:val="20"/>
                <w:u w:val="none"/>
              </w:rPr>
            </w:pPr>
            <w:r>
              <w:rPr>
                <w:b w:val="false"/>
                <w:bCs w:val="false"/>
                <w:i/>
                <w:iCs/>
                <w:sz w:val="20"/>
                <w:u w:val="none"/>
              </w:rPr>
              <w:t>First Quarter</w:t>
            </w:r>
          </w:p>
        </w:tc>
        <w:tc>
          <w:tcPr>
            <w:tcW w:w="1110" w:type="dxa"/>
            <w:tcBorders>
              <w:top w:val="single" w:sz="4" w:space="0" w:color="000000"/>
              <w:start w:val="single" w:sz="4" w:space="0" w:color="000000"/>
              <w:bottom w:val="single" w:sz="4" w:space="0" w:color="000000"/>
              <w:end w:val="single" w:sz="4" w:space="0" w:color="000000"/>
            </w:tcBorders>
          </w:tcPr>
          <w:p>
            <w:pPr>
              <w:pStyle w:val="Heading"/>
              <w:rPr>
                <w:b w:val="false"/>
                <w:bCs w:val="false"/>
                <w:i/>
                <w:i/>
                <w:iCs/>
                <w:sz w:val="20"/>
                <w:u w:val="none"/>
              </w:rPr>
            </w:pPr>
            <w:r>
              <w:rPr>
                <w:b w:val="false"/>
                <w:bCs w:val="false"/>
                <w:i/>
                <w:iCs/>
                <w:sz w:val="20"/>
                <w:u w:val="none"/>
              </w:rPr>
              <w:t>First Quarter</w:t>
            </w:r>
          </w:p>
        </w:tc>
        <w:tc>
          <w:tcPr>
            <w:tcW w:w="1323" w:type="dxa"/>
            <w:tcBorders>
              <w:top w:val="single" w:sz="4" w:space="0" w:color="000000"/>
              <w:start w:val="single" w:sz="4" w:space="0" w:color="000000"/>
              <w:bottom w:val="single" w:sz="4" w:space="0" w:color="000000"/>
              <w:end w:val="single" w:sz="4" w:space="0" w:color="000000"/>
            </w:tcBorders>
          </w:tcPr>
          <w:p>
            <w:pPr>
              <w:pStyle w:val="Heading"/>
              <w:rPr>
                <w:b w:val="false"/>
                <w:bCs w:val="false"/>
                <w:i/>
                <w:i/>
                <w:iCs/>
                <w:sz w:val="20"/>
                <w:u w:val="none"/>
              </w:rPr>
            </w:pPr>
            <w:r>
              <w:rPr>
                <w:b w:val="false"/>
                <w:bCs w:val="false"/>
                <w:i/>
                <w:iCs/>
                <w:sz w:val="20"/>
                <w:u w:val="none"/>
              </w:rPr>
              <w:t>Second Quarter</w:t>
            </w:r>
          </w:p>
        </w:tc>
        <w:tc>
          <w:tcPr>
            <w:tcW w:w="1110" w:type="dxa"/>
            <w:tcBorders>
              <w:top w:val="single" w:sz="4" w:space="0" w:color="000000"/>
              <w:start w:val="single" w:sz="4" w:space="0" w:color="000000"/>
              <w:bottom w:val="single" w:sz="4" w:space="0" w:color="000000"/>
              <w:end w:val="single" w:sz="4" w:space="0" w:color="000000"/>
            </w:tcBorders>
          </w:tcPr>
          <w:p>
            <w:pPr>
              <w:pStyle w:val="Heading"/>
              <w:rPr>
                <w:b w:val="false"/>
                <w:bCs w:val="false"/>
                <w:i/>
                <w:i/>
                <w:iCs/>
                <w:sz w:val="20"/>
                <w:u w:val="none"/>
              </w:rPr>
            </w:pPr>
            <w:r>
              <w:rPr>
                <w:b w:val="false"/>
                <w:bCs w:val="false"/>
                <w:i/>
                <w:iCs/>
                <w:sz w:val="20"/>
                <w:u w:val="none"/>
              </w:rPr>
              <w:t>Second Quarter</w:t>
            </w:r>
          </w:p>
        </w:tc>
        <w:tc>
          <w:tcPr>
            <w:tcW w:w="1323" w:type="dxa"/>
            <w:tcBorders>
              <w:top w:val="single" w:sz="4" w:space="0" w:color="000000"/>
              <w:start w:val="single" w:sz="4" w:space="0" w:color="000000"/>
              <w:bottom w:val="single" w:sz="4" w:space="0" w:color="000000"/>
              <w:end w:val="single" w:sz="4" w:space="0" w:color="000000"/>
            </w:tcBorders>
          </w:tcPr>
          <w:p>
            <w:pPr>
              <w:pStyle w:val="Heading"/>
              <w:rPr>
                <w:b w:val="false"/>
                <w:bCs w:val="false"/>
                <w:i/>
                <w:i/>
                <w:iCs/>
                <w:sz w:val="20"/>
                <w:u w:val="none"/>
              </w:rPr>
            </w:pPr>
            <w:r>
              <w:rPr>
                <w:b w:val="false"/>
                <w:bCs w:val="false"/>
                <w:i/>
                <w:iCs/>
                <w:sz w:val="20"/>
                <w:u w:val="none"/>
              </w:rPr>
              <w:t>Third Quarter</w:t>
            </w:r>
          </w:p>
        </w:tc>
        <w:tc>
          <w:tcPr>
            <w:tcW w:w="1110" w:type="dxa"/>
            <w:tcBorders>
              <w:top w:val="single" w:sz="4" w:space="0" w:color="000000"/>
              <w:start w:val="single" w:sz="4" w:space="0" w:color="000000"/>
              <w:bottom w:val="single" w:sz="4" w:space="0" w:color="000000"/>
              <w:end w:val="single" w:sz="4" w:space="0" w:color="000000"/>
            </w:tcBorders>
          </w:tcPr>
          <w:p>
            <w:pPr>
              <w:pStyle w:val="Heading"/>
              <w:rPr>
                <w:b w:val="false"/>
                <w:bCs w:val="false"/>
                <w:i/>
                <w:i/>
                <w:iCs/>
                <w:sz w:val="20"/>
                <w:u w:val="none"/>
              </w:rPr>
            </w:pPr>
            <w:r>
              <w:rPr>
                <w:b w:val="false"/>
                <w:bCs w:val="false"/>
                <w:i/>
                <w:iCs/>
                <w:sz w:val="20"/>
                <w:u w:val="none"/>
              </w:rPr>
              <w:t>Third Quarter</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Quick</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1.45</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2.50</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1.27</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2.00</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0.94</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1.67</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Current</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2.43</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3.00</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2.10</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3.12</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1.62</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3.54</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Current Liabilities to Net Worth</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0.80</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0.59</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0.94</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0.58</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1.55</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0.52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Ave. Total Liabilites to Net Worth</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1.67</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1.02</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1.65</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1.00</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1.92</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0.95</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i/>
                <w:i/>
                <w:iCs/>
                <w:sz w:val="20"/>
                <w:u w:val="none"/>
              </w:rPr>
            </w:pPr>
            <w:r>
              <w:rPr>
                <w:b w:val="false"/>
                <w:bCs w:val="false"/>
                <w:i/>
                <w:iCs/>
                <w:sz w:val="20"/>
                <w:u w:val="none"/>
              </w:rPr>
              <w:t>EFFICIENCY RATIOS</w:t>
            </w:r>
          </w:p>
        </w:tc>
        <w:tc>
          <w:tcPr>
            <w:tcW w:w="1260"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i/>
                <w:i/>
                <w:iCs/>
                <w:sz w:val="20"/>
                <w:u w:val="none"/>
              </w:rPr>
            </w:pPr>
            <w:r>
              <w:rPr>
                <w:b w:val="false"/>
                <w:bCs w:val="false"/>
                <w:i/>
                <w:iCs/>
                <w:sz w:val="20"/>
                <w:u w:val="none"/>
              </w:rPr>
            </w:r>
          </w:p>
        </w:tc>
        <w:tc>
          <w:tcPr>
            <w:tcW w:w="1110"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sz w:val="20"/>
                <w:u w:val="none"/>
              </w:rPr>
            </w:pPr>
            <w:r>
              <w:rPr>
                <w:b w:val="false"/>
                <w:bCs w:val="false"/>
                <w:sz w:val="20"/>
                <w:u w:val="none"/>
              </w:rPr>
            </w:r>
          </w:p>
        </w:tc>
        <w:tc>
          <w:tcPr>
            <w:tcW w:w="1323"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sz w:val="20"/>
                <w:u w:val="none"/>
              </w:rPr>
            </w:pPr>
            <w:r>
              <w:rPr>
                <w:b w:val="false"/>
                <w:bCs w:val="false"/>
                <w:sz w:val="20"/>
                <w:u w:val="none"/>
              </w:rPr>
            </w:r>
          </w:p>
        </w:tc>
        <w:tc>
          <w:tcPr>
            <w:tcW w:w="1110"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sz w:val="20"/>
                <w:u w:val="none"/>
              </w:rPr>
            </w:pPr>
            <w:r>
              <w:rPr>
                <w:b w:val="false"/>
                <w:bCs w:val="false"/>
                <w:sz w:val="20"/>
                <w:u w:val="none"/>
              </w:rPr>
            </w:r>
          </w:p>
        </w:tc>
        <w:tc>
          <w:tcPr>
            <w:tcW w:w="1323"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sz w:val="20"/>
                <w:u w:val="none"/>
              </w:rPr>
            </w:pPr>
            <w:r>
              <w:rPr>
                <w:b w:val="false"/>
                <w:bCs w:val="false"/>
                <w:sz w:val="20"/>
                <w:u w:val="none"/>
              </w:rPr>
            </w:r>
          </w:p>
        </w:tc>
        <w:tc>
          <w:tcPr>
            <w:tcW w:w="1110" w:type="dxa"/>
            <w:tcBorders>
              <w:top w:val="single" w:sz="4" w:space="0" w:color="000000"/>
              <w:start w:val="single" w:sz="4" w:space="0" w:color="000000"/>
              <w:bottom w:val="single" w:sz="4" w:space="0" w:color="000000"/>
              <w:end w:val="single" w:sz="4" w:space="0" w:color="000000"/>
            </w:tcBorders>
          </w:tcPr>
          <w:p>
            <w:pPr>
              <w:pStyle w:val="Heading"/>
              <w:snapToGrid w:val="false"/>
              <w:jc w:val="start"/>
              <w:rPr>
                <w:b w:val="false"/>
                <w:bCs w:val="false"/>
                <w:sz w:val="20"/>
                <w:u w:val="none"/>
              </w:rPr>
            </w:pPr>
            <w:r>
              <w:rPr>
                <w:b w:val="false"/>
                <w:bCs w:val="false"/>
                <w:sz w:val="20"/>
                <w:u w:val="none"/>
              </w:rPr>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Ave. time in inventory</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279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75 days</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133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67 days</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114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68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Receivables turnover</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205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55 days</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128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54 days</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130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43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Payables turnover</w:t>
            </w:r>
          </w:p>
        </w:tc>
        <w:tc>
          <w:tcPr>
            <w:tcW w:w="12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213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46 days</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138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41 days</w:t>
            </w:r>
          </w:p>
        </w:tc>
        <w:tc>
          <w:tcPr>
            <w:tcW w:w="1323"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155 days</w:t>
            </w:r>
          </w:p>
        </w:tc>
        <w:tc>
          <w:tcPr>
            <w:tcW w:w="111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sz w:val="20"/>
                <w:u w:val="none"/>
              </w:rPr>
            </w:pPr>
            <w:r>
              <w:rPr>
                <w:b w:val="false"/>
                <w:bCs w:val="false"/>
                <w:sz w:val="20"/>
                <w:u w:val="none"/>
              </w:rPr>
              <w:t>41 days</w:t>
            </w:r>
          </w:p>
        </w:tc>
      </w:tr>
    </w:tbl>
    <w:p>
      <w:pPr>
        <w:pStyle w:val="Heading"/>
        <w:jc w:val="start"/>
        <w:rPr>
          <w:b w:val="false"/>
          <w:bCs w:val="false"/>
          <w:u w:val="none"/>
        </w:rPr>
      </w:pPr>
      <w:r>
        <w:rPr>
          <w:b w:val="false"/>
          <w:bCs w:val="false"/>
          <w:u w:val="none"/>
        </w:rPr>
        <w:tab/>
      </w:r>
    </w:p>
    <w:p>
      <w:pPr>
        <w:pStyle w:val="Heading"/>
        <w:jc w:val="start"/>
        <w:rPr>
          <w:b w:val="false"/>
          <w:bCs w:val="false"/>
          <w:u w:val="none"/>
        </w:rPr>
      </w:pPr>
      <w:r>
        <w:rPr>
          <w:i/>
          <w:iCs/>
          <w:u w:val="none"/>
        </w:rPr>
        <w:t>Question 4</w:t>
      </w:r>
    </w:p>
    <w:p>
      <w:pPr>
        <w:pStyle w:val="Heading"/>
        <w:jc w:val="start"/>
        <w:rPr>
          <w:b w:val="false"/>
          <w:bCs w:val="false"/>
          <w:u w:val="none"/>
        </w:rPr>
      </w:pPr>
      <w:r>
        <w:rPr>
          <w:b w:val="false"/>
          <w:bCs w:val="false"/>
          <w:u w:val="none"/>
        </w:rPr>
      </w:r>
    </w:p>
    <w:p>
      <w:pPr>
        <w:pStyle w:val="Heading"/>
        <w:jc w:val="start"/>
        <w:rPr>
          <w:b w:val="false"/>
          <w:bCs w:val="false"/>
          <w:u w:val="none"/>
        </w:rPr>
      </w:pPr>
      <w:r>
        <w:rPr>
          <w:b w:val="false"/>
          <w:bCs w:val="false"/>
          <w:u w:val="none"/>
        </w:rPr>
        <w:tab/>
        <w:t>I would recommend to Paula’s manager that Miniscribe be removed from the firm’s “Buy” recommendation list.  The competition in the disk drive sector is relentless and Miniscribe has invested heavily in disk-drive manufacturing facilities.  Given the fact that leading forecasts show an overcapacity in the disk-drive market, price competition is likely to intensify.  Miniscribes manufacturing assets could experience impairment as a result.</w:t>
      </w:r>
    </w:p>
    <w:p>
      <w:pPr>
        <w:pStyle w:val="Heading"/>
        <w:jc w:val="start"/>
        <w:rPr>
          <w:b w:val="false"/>
          <w:bCs w:val="false"/>
          <w:u w:val="none"/>
        </w:rPr>
      </w:pPr>
      <w:r>
        <w:rPr>
          <w:b w:val="false"/>
          <w:bCs w:val="false"/>
          <w:u w:val="none"/>
        </w:rPr>
      </w:r>
    </w:p>
    <w:p>
      <w:pPr>
        <w:pStyle w:val="Heading"/>
        <w:jc w:val="start"/>
        <w:rPr>
          <w:b w:val="false"/>
          <w:bCs w:val="false"/>
          <w:u w:val="none"/>
        </w:rPr>
      </w:pPr>
      <w:r>
        <w:rPr>
          <w:b w:val="false"/>
          <w:bCs w:val="false"/>
          <w:u w:val="none"/>
        </w:rPr>
        <w:tab/>
        <w:t>Other considerations re-enforce these concerns.  Miniscribe’s cash flow is weak and the level of cash has steadily decreased over the past three quarters.  In addition, Miniscribe’s inventories have increased significantly, liquidity ratios have fallen dramatically and liabilities have ballooned.  Moreover, critical indicators of liquidity and efficiency indicate that Miniscribe is performing at levels that fall well below the industry standard.  Given these facts, it is difficult to justify maintaining Miniscribe on the firm’s “Buy” recommendation list.</w:t>
      </w:r>
      <w:r>
        <w:br w:type="page"/>
      </w:r>
    </w:p>
    <w:p>
      <w:pPr>
        <w:pStyle w:val="Heading"/>
        <w:jc w:val="start"/>
        <w:rPr>
          <w:b w:val="false"/>
          <w:bCs w:val="false"/>
          <w:u w:val="none"/>
        </w:rPr>
      </w:pPr>
      <w:r>
        <w:rPr>
          <w:b w:val="false"/>
          <w:bCs w:val="false"/>
          <w:u w:val="none"/>
        </w:rPr>
      </w:r>
    </w:p>
    <w:p>
      <w:pPr>
        <w:pStyle w:val="Heading"/>
        <w:rPr>
          <w:b w:val="false"/>
          <w:bCs w:val="false"/>
          <w:u w:val="none"/>
        </w:rPr>
      </w:pPr>
      <w:r>
        <w:rPr>
          <w:b w:val="false"/>
          <w:bCs w:val="false"/>
          <w:u w:val="none"/>
        </w:rPr>
      </w:r>
    </w:p>
    <w:p>
      <w:pPr>
        <w:pStyle w:val="Heading"/>
        <w:rPr>
          <w:u w:val="none"/>
        </w:rPr>
      </w:pPr>
      <w:r>
        <w:rPr>
          <w:u w:val="none"/>
        </w:rPr>
        <w:t>TAKE HOME MIDTERM—PART II</w:t>
      </w:r>
    </w:p>
    <w:p>
      <w:pPr>
        <w:pStyle w:val="Heading"/>
        <w:rPr/>
      </w:pPr>
      <w:r>
        <w:rPr/>
        <w:t>INFORMIX CASE</w:t>
      </w:r>
    </w:p>
    <w:p>
      <w:pPr>
        <w:pStyle w:val="Normal"/>
        <w:jc w:val="center"/>
        <w:rPr>
          <w:b/>
          <w:bCs/>
        </w:rPr>
      </w:pPr>
      <w:r>
        <w:rPr>
          <w:b/>
          <w:bCs/>
        </w:rPr>
      </w:r>
    </w:p>
    <w:p>
      <w:pPr>
        <w:pStyle w:val="Subtitle"/>
        <w:rPr/>
      </w:pPr>
      <w:r>
        <w:rPr/>
        <w:t>Question 1</w:t>
      </w:r>
    </w:p>
    <w:p>
      <w:pPr>
        <w:pStyle w:val="BodyTextIndent"/>
        <w:rPr/>
      </w:pPr>
      <w:r>
        <w:rPr/>
        <w:t>Prior to 1990, Informix’s revenue recognition practices generally fell outside the standards set forth in FASB Concepts Statement No. 5 and Standards No. 86 and therefore arguably conflict with generally accepted accounting principles (GAAP).</w:t>
      </w:r>
    </w:p>
    <w:p>
      <w:pPr>
        <w:pStyle w:val="Normal"/>
        <w:ind w:firstLine="720" w:end="0"/>
        <w:rPr/>
      </w:pPr>
      <w:r>
        <w:rPr/>
      </w:r>
    </w:p>
    <w:p>
      <w:pPr>
        <w:pStyle w:val="Normal"/>
        <w:ind w:firstLine="720" w:end="0"/>
        <w:rPr/>
      </w:pPr>
      <w:r>
        <w:rPr/>
        <w:t xml:space="preserve"> </w:t>
      </w:r>
      <w:r>
        <w:rPr/>
        <w:t>First, FASB Concepts Statement No. 5 states clearly that, “Revenues and gains generally are not recognized until realized or realizable.  Revenues…are realized when products (goods or services)…are exchanged for cash or claims for cash.”</w:t>
      </w:r>
      <w:r>
        <w:rPr>
          <w:rStyle w:val="FootnoteCharacters"/>
          <w:rStyle w:val="FootnoteReference"/>
        </w:rPr>
        <w:footnoteReference w:id="2"/>
      </w:r>
      <w:r>
        <w:rPr/>
        <w:t xml:space="preserve">  In addition, FASB Concepts No. 5 goes on to state, “Revenues are not recognized until earned…Revenues are considered to have been earned when the entity has substantially accomplished what it must do to be entitled to the benefits represented by the revenues.”</w:t>
      </w:r>
      <w:r>
        <w:rPr>
          <w:rStyle w:val="FootnoteCharacters"/>
          <w:rStyle w:val="FootnoteReference"/>
        </w:rPr>
        <w:footnoteReference w:id="3"/>
      </w:r>
    </w:p>
    <w:p>
      <w:pPr>
        <w:pStyle w:val="Normal"/>
        <w:ind w:firstLine="720" w:end="0"/>
        <w:rPr/>
      </w:pPr>
      <w:r>
        <w:rPr/>
      </w:r>
    </w:p>
    <w:p>
      <w:pPr>
        <w:pStyle w:val="Normal"/>
        <w:ind w:firstLine="720" w:end="0"/>
        <w:rPr/>
      </w:pPr>
      <w:r>
        <w:rPr/>
        <w:t>The revenue recognition policy established and used by Informix prior to 1990 appears to violate both the “realized and realizable” and “earned” standards embedded in Concepts Statement No. 5.  As stated in the case, “[t]he two conditions (being realized and being earned) are usually met at the time a product is delivered or services are rendered to customers.”  But as Exhibit 1 and the case point out, Informix recognized as revenue “all amounts payable within 12 motnhs of the time a customer made a contractual commitment…”  In short, prior to the Q4, 1990 policy change, Informix recognized revenue for software that might not even be delivered for 12 months.</w:t>
      </w:r>
    </w:p>
    <w:p>
      <w:pPr>
        <w:pStyle w:val="Normal"/>
        <w:ind w:firstLine="720" w:end="0"/>
        <w:rPr/>
      </w:pPr>
      <w:r>
        <w:rPr/>
      </w:r>
    </w:p>
    <w:p>
      <w:pPr>
        <w:pStyle w:val="Normal"/>
        <w:ind w:firstLine="720" w:end="0"/>
        <w:rPr/>
      </w:pPr>
      <w:r>
        <w:rPr/>
        <w:t>The aggressive recognition policy is made more complicated by FASB Standards No. 86.  This standard requires companies to capitalize all costs incurred in the development of commercial software and to begin amortizing these costs once the company has established technological feasibility.  The dual effect of “pushing costs out” into the future and aggressively “pulling revenues forward” into the present seems to conflict significantly with “matching principles.”  As a consequence, Informix’s recognition policy would seem to conflict with generally accepted accounting principles.</w:t>
      </w:r>
    </w:p>
    <w:p>
      <w:pPr>
        <w:pStyle w:val="Normal"/>
        <w:ind w:firstLine="720" w:end="0"/>
        <w:rPr/>
      </w:pPr>
      <w:r>
        <w:rPr/>
      </w:r>
    </w:p>
    <w:p>
      <w:pPr>
        <w:pStyle w:val="Normal"/>
        <w:ind w:firstLine="720" w:end="0"/>
        <w:rPr/>
      </w:pPr>
      <w:r>
        <w:rPr/>
        <w:t>In addition, Accounting Research Bulletin No. 45 calls for the use of “percentage-of-completion” method when “the contract to deliver software or a software system requires significant production, modification, or customization of software.”  Moreover, when significant uncertainty exists regarding whether the customer will accept the software once it is delivered, revenue should not be recognized until the uncertainty is eliminated.  Finally, when no reasonable basis exists for estimating the degree of collectibility of software-related receivables, companies should employ either the installment or cost-recovery method.</w:t>
      </w:r>
      <w:r>
        <w:rPr>
          <w:rStyle w:val="FootnoteCharacters"/>
          <w:rStyle w:val="FootnoteReference"/>
        </w:rPr>
        <w:footnoteReference w:id="4"/>
      </w:r>
    </w:p>
    <w:p>
      <w:pPr>
        <w:pStyle w:val="Normal"/>
        <w:ind w:firstLine="720" w:end="0"/>
        <w:rPr/>
      </w:pPr>
      <w:r>
        <w:rPr/>
      </w:r>
    </w:p>
    <w:p>
      <w:pPr>
        <w:pStyle w:val="Normal"/>
        <w:ind w:firstLine="720" w:end="0"/>
        <w:rPr/>
      </w:pPr>
      <w:r>
        <w:rPr/>
        <w:t>Though Informix may have followed ARB No. 45 and the other associated practices regarding collection uncertainty, the case offers no indication that Informix strictly adhered to these practices when it recognized revenue on the basis of a contractual commitment.   This fact raises additional concerns regarding the extent to which Informix’s recognition policies correspond to GAAP.</w:t>
      </w:r>
    </w:p>
    <w:p>
      <w:pPr>
        <w:pStyle w:val="Normal"/>
        <w:ind w:firstLine="720" w:end="0"/>
        <w:rPr/>
      </w:pPr>
      <w:r>
        <w:rPr/>
      </w:r>
    </w:p>
    <w:p>
      <w:pPr>
        <w:pStyle w:val="Heading1"/>
        <w:ind w:hanging="0" w:start="0"/>
        <w:rPr/>
      </w:pPr>
      <w:r>
        <w:rPr/>
        <w:t>Question 2</w:t>
      </w:r>
    </w:p>
    <w:p>
      <w:pPr>
        <w:pStyle w:val="Normal"/>
        <w:rPr/>
      </w:pPr>
      <w:r>
        <w:rPr/>
        <w:tab/>
        <w:t xml:space="preserve">Prior to 1990 and the issuance of AICPA SOP on “Software Revenue Recognition,” Informix and its external auditors might have argued that differences between the software business and other more traditional businesses merited different revenue recognition policies.  For example, they might have argued that software was fundamentally transforming the way the enterprise operates, making such software a “must have” corporate tool, thus justifying a more aggressive recognition policy.  In addition, they might have pointed to the fact that industry specific standards had yet to be established for the fledgling softward industry and that the policy employed by Informix was generally consistent with recognition policies used throughout the software industry. </w:t>
      </w:r>
    </w:p>
    <w:p>
      <w:pPr>
        <w:pStyle w:val="Normal"/>
        <w:rPr/>
      </w:pPr>
      <w:r>
        <w:rPr/>
      </w:r>
    </w:p>
    <w:p>
      <w:pPr>
        <w:pStyle w:val="Normal"/>
        <w:rPr/>
      </w:pPr>
      <w:r>
        <w:rPr/>
        <w:tab/>
        <w:t>There seem to be four plausible reasons that Informix adopted the proposed accounting policy before it was required.  First, doing so signalled that Informix management was “taking charge” of the situation.  By re-calibrating its recognition policy with the changing realities of the market place (i.e., slower and/or flat growth), Informix may have hoped that the market would look favorably upon its management team.  Second, Informix likely hoped that the market would forgive (or ignore), rather than penalize, the one-time charge that Informix would take as a result of the change in recognition policy.  Third, given the changing business climate, Informix may have chosen to adopt the policy early and take a one time charge with the intent of “clearing the financial decks.”  By taking a one-time charge (and increasing its losses) and doing so in the final quarter of 1990, Informix likely hoped to position itself for (at least the appearance of) improved performance in 1991.  Finally, Informix may have hoped that it could use early adoption of the new accounting policy to “disguise” future decreases in software sales and the downturn in the software business generally.</w:t>
      </w:r>
    </w:p>
    <w:p>
      <w:pPr>
        <w:pStyle w:val="Normal"/>
        <w:rPr/>
      </w:pPr>
      <w:r>
        <w:rPr/>
      </w:r>
    </w:p>
    <w:p>
      <w:pPr>
        <w:pStyle w:val="Heading1"/>
        <w:ind w:hanging="0" w:start="0"/>
        <w:rPr/>
      </w:pPr>
      <w:r>
        <w:rPr/>
        <w:t>Question 3</w:t>
      </w:r>
    </w:p>
    <w:p>
      <w:pPr>
        <w:pStyle w:val="Normal"/>
        <w:rPr/>
      </w:pPr>
      <w:r>
        <w:rPr/>
        <w:tab/>
        <w:t>The AICPA likely felt compelled to issue an industry-specific revenue recognition policy due to 1) the “newness” of the software industry and 2) the variety of recognition policies that software companies were using as a result of this “newness.”  If the AICPA continued to permit software companies to establish a wide-range of recognition policies, it would become increasingly difficult for analysts to assess the performance of a given company.  In addition, and perhaps most important, the persistence of a wide array of disparate recognition policies would make it increasingly difficult to compare performance across software companies.  Finally, the AICPA may have acted out of concerns of accounting abuse by the software industry with respect to revenue recognition policy.</w:t>
      </w:r>
    </w:p>
    <w:p>
      <w:pPr>
        <w:pStyle w:val="Normal"/>
        <w:rPr/>
      </w:pPr>
      <w:r>
        <w:rPr/>
      </w:r>
    </w:p>
    <w:p>
      <w:pPr>
        <w:pStyle w:val="Heading1"/>
        <w:ind w:hanging="0" w:start="0"/>
        <w:rPr/>
      </w:pPr>
      <w:r>
        <w:rPr/>
        <w:t>Question 4</w:t>
      </w:r>
    </w:p>
    <w:p>
      <w:pPr>
        <w:pStyle w:val="Normal"/>
        <w:rPr/>
      </w:pPr>
      <w:r>
        <w:rPr/>
        <w:tab/>
        <w:t>I disagree that Informix’s new recognition policy is preferable because it more accurately reflects the earnings process in the current business environment.  The business climate should be at best a secondary concern when establishing recognition policy.  FASB Concepts No. 5 should provide the primary basis on which Informix—or any firm—ought to establish its recognition policy.  Informix should recognize revenue when the revenue is realized or realizable and when the revenue is earned.  A softening of, or increase in, sales might affect other factors, like Informix’s credit policy or marketing plan, but it should have little bearing on recognition policy.</w:t>
      </w:r>
    </w:p>
    <w:p>
      <w:pPr>
        <w:pStyle w:val="Normal"/>
        <w:rPr/>
      </w:pPr>
      <w:r>
        <w:rPr/>
        <w:tab/>
      </w:r>
    </w:p>
    <w:p>
      <w:pPr>
        <w:pStyle w:val="Normal"/>
        <w:rPr/>
      </w:pPr>
      <w:r>
        <w:rPr/>
        <w:tab/>
        <w:t>Whether Informix’s customers believe that forecasts of future sales are uncertain seems tangential to the decision regarding recognition policy.  Prior to 1990, Informix recognized revenue simply on the basis of a contractual commitment, even though Informix might not deliver the product for 12 months and the costs associated with software delivery might be uncertain or incurred at a significantly later date.  This recognition policy was arguably overly aggressive when measured against “realized and earned” standards.  It is for these reasons that Informix should adopt the AICPA standards, not as a result of any particular “swings” in the business cycle.</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FASB Concepts No. 5 from </w:t>
      </w:r>
      <w:r>
        <w:rPr>
          <w:u w:val="single"/>
        </w:rPr>
        <w:t>Corporate Financial Reporting and Analysis</w:t>
      </w:r>
      <w:r>
        <w:rPr/>
        <w:t>, p. 288.</w:t>
      </w:r>
    </w:p>
  </w:footnote>
  <w:footnote w:id="3">
    <w:p>
      <w:pPr>
        <w:pStyle w:val="FootnoteText"/>
        <w:rPr/>
      </w:pPr>
      <w:r>
        <w:rPr>
          <w:rStyle w:val="FootnoteCharacters"/>
        </w:rPr>
        <w:footnoteRef/>
      </w:r>
      <w:r>
        <w:rPr/>
        <w:t xml:space="preserve"> </w:t>
      </w:r>
      <w:r>
        <w:rPr/>
        <w:t>Ibid.</w:t>
      </w:r>
    </w:p>
  </w:footnote>
  <w:footnote w:id="4">
    <w:p>
      <w:pPr>
        <w:pStyle w:val="FootnoteText"/>
        <w:rPr/>
      </w:pPr>
      <w:r>
        <w:rPr>
          <w:rStyle w:val="FootnoteCharacters"/>
        </w:rPr>
        <w:footnoteRef/>
      </w:r>
      <w:r>
        <w:rPr/>
        <w:t xml:space="preserve"> </w:t>
      </w:r>
      <w:r>
        <w:rPr/>
        <w:t>Information provided in case.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Jeff Dasovich</w:t>
    </w:r>
  </w:p>
  <w:p>
    <w:pPr>
      <w:pStyle w:val="Header"/>
      <w:jc w:val="end"/>
      <w:rPr>
        <w:sz w:val="22"/>
      </w:rPr>
    </w:pPr>
    <w:r>
      <w:rPr>
        <w:sz w:val="22"/>
      </w:rPr>
      <w:t>E220/Midterm</w:t>
    </w:r>
  </w:p>
  <w:p>
    <w:pPr>
      <w:pStyle w:val="Header"/>
      <w:jc w:val="end"/>
      <w:rPr>
        <w:sz w:val="22"/>
      </w:rPr>
    </w:pPr>
    <w:r>
      <w:rPr>
        <w:sz w:val="22"/>
      </w:rPr>
      <w:t>Professor Aceves</w:t>
    </w:r>
  </w:p>
  <w:p>
    <w:pPr>
      <w:pStyle w:val="Header"/>
      <w:jc w:val="end"/>
      <w:rPr>
        <w:sz w:val="22"/>
      </w:rPr>
    </w:pPr>
    <w:r>
      <w:rPr>
        <w:sz w:val="22"/>
      </w:rPr>
      <w:t>October 30, 2000</w:t>
    </w:r>
  </w:p>
  <w:p>
    <w:pPr>
      <w:pStyle w:val="Header"/>
      <w:jc w:val="end"/>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i/>
      <w:iCs/>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2000-10-30T03:45:00Z</dcterms:created>
  <dc:creator>jdasovic</dc:creator>
  <dc:description/>
  <dc:language>en-CA</dc:language>
  <cp:lastModifiedBy>jdasovic</cp:lastModifiedBy>
  <cp:lastPrinted>2000-10-30T00:15:00Z</cp:lastPrinted>
  <dcterms:modified xsi:type="dcterms:W3CDTF">2000-10-30T03:46:00Z</dcterms:modified>
  <cp:revision>3</cp:revision>
  <dc:subject/>
  <dc:title>TAKE HOME MIDTERM—PART II</dc:title>
</cp:coreProperties>
</file>