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Case 5-1 Northrop, Statement of Cash Flows</w:t>
      </w:r>
    </w:p>
    <w:p>
      <w:pPr>
        <w:pStyle w:val="Normal"/>
        <w:numPr>
          <w:ilvl w:val="0"/>
          <w:numId w:val="2"/>
        </w:numPr>
        <w:rPr/>
      </w:pPr>
      <w:r>
        <w:rPr/>
        <w:t>Compare Northrops cash from operations and earning for 1991 - 1997.  What aer the major reasons why they differ?</w:t>
      </w:r>
    </w:p>
    <w:p>
      <w:pPr>
        <w:pStyle w:val="Normal"/>
        <w:ind w:start="360" w:end="0"/>
        <w:rPr/>
      </w:pPr>
      <w:r>
        <w:rPr/>
      </w:r>
    </w:p>
    <w:p>
      <w:pPr>
        <w:pStyle w:val="Normal"/>
        <w:ind w:start="360" w:end="0"/>
        <w:rPr/>
      </w:pPr>
      <w:r>
        <w:rPr/>
        <w:t>From 1987 to 1989, accounts receivable is increasing (this is subtracted from net income), showing an increasing trend in cash flow.  From 1989 to 1991, accounts receivable decreases significantly (from 1,209 M to (1,058.2M)), this should show a decresding trend in cash flow, but because there is an increase in progress payments (which I assume are payments on poducts), the cash flow trend continues to increase.  Going forward, unless accounts receivalbe shows growth, future collections from sales will be reduced.  If the decrease in accounts receivable continues, cash flow from operations may not be sustainable.</w:t>
      </w:r>
    </w:p>
    <w:p>
      <w:pPr>
        <w:pStyle w:val="Normal"/>
        <w:ind w:start="360" w:end="0"/>
        <w:rPr/>
      </w:pPr>
      <w:r>
        <w:rPr/>
      </w:r>
    </w:p>
    <w:p>
      <w:pPr>
        <w:pStyle w:val="Normal"/>
        <w:ind w:start="360" w:end="0"/>
        <w:rPr/>
      </w:pPr>
      <w:r>
        <w:rPr/>
        <w:t>Differences in CFO and Net Income (Earnings)</w:t>
      </w:r>
    </w:p>
    <w:p>
      <w:pPr>
        <w:pStyle w:val="Normal"/>
        <w:ind w:start="360" w:end="0"/>
        <w:rPr/>
      </w:pPr>
      <w:r>
        <w:rPr/>
        <w:t>1991: CFO = 609.4, NI = 200.8</w:t>
      </w:r>
    </w:p>
    <w:p>
      <w:pPr>
        <w:pStyle w:val="Normal"/>
        <w:ind w:start="360" w:end="0"/>
        <w:rPr/>
      </w:pPr>
      <w:r>
        <w:rPr/>
        <w:tab/>
        <w:t>Main reasons for difference are changes in accounting rules, amortization and depreciation, accounts payable and inventoried costs</w:t>
      </w:r>
    </w:p>
    <w:p>
      <w:pPr>
        <w:pStyle w:val="Normal"/>
        <w:ind w:start="360" w:end="0"/>
        <w:rPr/>
      </w:pPr>
      <w:r>
        <w:rPr/>
      </w:r>
    </w:p>
    <w:p>
      <w:pPr>
        <w:pStyle w:val="Normal"/>
        <w:ind w:start="360" w:end="0"/>
        <w:rPr/>
      </w:pPr>
      <w:r>
        <w:rPr/>
        <w:t>1990: CFO = 266.1, NI = 210.4</w:t>
        <w:tab/>
      </w:r>
    </w:p>
    <w:p>
      <w:pPr>
        <w:pStyle w:val="Normal"/>
        <w:ind w:start="360" w:end="0"/>
        <w:rPr/>
      </w:pPr>
      <w:r>
        <w:rPr/>
        <w:tab/>
        <w:t>Large gain on PPE 103M</w:t>
      </w:r>
    </w:p>
    <w:p>
      <w:pPr>
        <w:pStyle w:val="Normal"/>
        <w:ind w:start="360" w:end="0"/>
        <w:rPr/>
      </w:pPr>
      <w:r>
        <w:rPr/>
      </w:r>
    </w:p>
    <w:p>
      <w:pPr>
        <w:pStyle w:val="Normal"/>
        <w:ind w:start="360" w:end="0"/>
        <w:rPr/>
      </w:pPr>
      <w:r>
        <w:rPr/>
        <w:t>1989:  CFO = 78.6, NI = (80.5)</w:t>
      </w:r>
    </w:p>
    <w:p>
      <w:pPr>
        <w:pStyle w:val="Normal"/>
        <w:ind w:start="360" w:end="0"/>
        <w:rPr/>
      </w:pPr>
      <w:r>
        <w:rPr/>
        <w:tab/>
        <w:t>Depreciation</w:t>
      </w:r>
    </w:p>
    <w:p>
      <w:pPr>
        <w:pStyle w:val="Normal"/>
        <w:ind w:start="360" w:end="0"/>
        <w:rPr/>
      </w:pPr>
      <w:r>
        <w:rPr/>
        <w:tab/>
      </w:r>
    </w:p>
    <w:p>
      <w:pPr>
        <w:pStyle w:val="Normal"/>
        <w:ind w:start="360" w:end="0"/>
        <w:rPr/>
      </w:pPr>
      <w:r>
        <w:rPr/>
        <w:t>1988, NI = 97, NI = 104.2</w:t>
      </w:r>
    </w:p>
    <w:p>
      <w:pPr>
        <w:pStyle w:val="Normal"/>
        <w:ind w:start="360" w:end="0"/>
        <w:rPr/>
      </w:pPr>
      <w:r>
        <w:rPr/>
        <w:tab/>
        <w:t>Large loss in income taxes due to accounting rule change (135.1)</w:t>
      </w:r>
    </w:p>
    <w:p>
      <w:pPr>
        <w:pStyle w:val="Normal"/>
        <w:ind w:start="360" w:end="0"/>
        <w:rPr/>
      </w:pPr>
      <w:r>
        <w:rPr/>
      </w:r>
    </w:p>
    <w:p>
      <w:pPr>
        <w:pStyle w:val="Normal"/>
        <w:ind w:start="360" w:end="0"/>
        <w:rPr/>
      </w:pPr>
      <w:r>
        <w:rPr/>
        <w:t>1987, NI = (67.2), NI = 94.2</w:t>
      </w:r>
    </w:p>
    <w:p>
      <w:pPr>
        <w:pStyle w:val="Normal"/>
        <w:ind w:start="360" w:end="0"/>
        <w:rPr/>
      </w:pPr>
      <w:r>
        <w:rPr/>
        <w:tab/>
        <w:t>Large increase in accounts receivable compared to progress payments (457.8)</w:t>
      </w:r>
    </w:p>
    <w:p>
      <w:pPr>
        <w:pStyle w:val="Normal"/>
        <w:ind w:start="360" w:end="0"/>
        <w:rPr/>
      </w:pPr>
      <w:r>
        <w:rPr/>
      </w:r>
    </w:p>
    <w:p>
      <w:pPr>
        <w:pStyle w:val="Normal"/>
        <w:ind w:start="360" w:end="0"/>
        <w:rPr/>
      </w:pPr>
      <w:r>
        <w:rPr/>
      </w:r>
    </w:p>
    <w:p>
      <w:pPr>
        <w:pStyle w:val="Normal"/>
        <w:numPr>
          <w:ilvl w:val="0"/>
          <w:numId w:val="2"/>
        </w:numPr>
        <w:rPr/>
      </w:pPr>
      <w:r>
        <w:rPr/>
        <w:t>dsfkj</w:t>
      </w:r>
    </w:p>
    <w:p>
      <w:pPr>
        <w:pStyle w:val="Normal"/>
        <w:numPr>
          <w:ilvl w:val="0"/>
          <w:numId w:val="2"/>
        </w:numPr>
        <w:rPr/>
      </w:pPr>
      <w:r>
        <w:rPr/>
        <w:t>Prepare a total statement of cash low for 1987 - 91.  What did you learn about Northrop?  How are they financing working captital growth? How are they financing dividends. What other information would you like to have to make this judgement?</w:t>
      </w:r>
    </w:p>
    <w:p>
      <w:pPr>
        <w:pStyle w:val="Normal"/>
        <w:ind w:start="360" w:end="0"/>
        <w:rPr/>
      </w:pPr>
      <w:r>
        <w:rPr/>
      </w:r>
    </w:p>
    <w:p>
      <w:pPr>
        <w:pStyle w:val="Normal"/>
        <w:ind w:start="360" w:end="0"/>
        <w:rPr/>
      </w:pPr>
      <w:r>
        <w:rPr/>
        <w:t>The table below shows the total cash flow from 1987 - 1991.  Northrop shows strong positive cash flows from operations and high investment in property, plant and equipment, which is financed through borrowing under credit.  The investment in property, plant and equipment is higher than the sale of the same for a net increase in PP&amp;E investment.  Working capital is financed with what appears to be short-term borrowing (lines of credit), which is paid back through collections from customers.  The following appears to be Northrops financial model:</w:t>
      </w:r>
    </w:p>
    <w:p>
      <w:pPr>
        <w:pStyle w:val="Normal"/>
        <w:ind w:start="360" w:end="0"/>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1687195</wp:posOffset>
                </wp:positionH>
                <wp:positionV relativeFrom="paragraph">
                  <wp:posOffset>109855</wp:posOffset>
                </wp:positionV>
                <wp:extent cx="1380490" cy="466090"/>
                <wp:effectExtent l="0" t="0" r="0" b="0"/>
                <wp:wrapNone/>
                <wp:docPr id="1" name="Frame1"/>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rPr/>
                            </w:pPr>
                            <w:r>
                              <w:rPr/>
                              <w:t>Borrow on line of credit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8.65pt;mso-position-vertical-relative:text;margin-left:132.85pt;mso-position-horizontal-relative:text">
                <v:textbox>
                  <w:txbxContent>
                    <w:p>
                      <w:pPr>
                        <w:pStyle w:val="Normal"/>
                        <w:rPr/>
                      </w:pPr>
                      <w:r>
                        <w:rPr/>
                        <w:t>Borrow on line of credit</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9">
                <wp:simplePos x="0" y="0"/>
                <wp:positionH relativeFrom="column">
                  <wp:posOffset>1051560</wp:posOffset>
                </wp:positionH>
                <wp:positionV relativeFrom="paragraph">
                  <wp:posOffset>38100</wp:posOffset>
                </wp:positionV>
                <wp:extent cx="0" cy="3108960"/>
                <wp:effectExtent l="5080" t="0" r="5080" b="0"/>
                <wp:wrapNone/>
                <wp:docPr id="2" name=""/>
                <a:graphic xmlns:a="http://schemas.openxmlformats.org/drawingml/2006/main">
                  <a:graphicData uri="http://schemas.microsoft.com/office/word/2010/wordprocessingShape">
                    <wps:wsp>
                      <wps:cNvSpPr/>
                      <wps:spPr>
                        <a:xfrm flipV="1">
                          <a:off x="0" y="0"/>
                          <a:ext cx="0" cy="3108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3pt" to="82.8pt,247.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1051560</wp:posOffset>
                </wp:positionH>
                <wp:positionV relativeFrom="paragraph">
                  <wp:posOffset>38100</wp:posOffset>
                </wp:positionV>
                <wp:extent cx="640080" cy="0"/>
                <wp:effectExtent l="0" t="38100" r="0" b="38100"/>
                <wp:wrapNone/>
                <wp:docPr id="3"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pt,3pt" to="133.15pt,3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1687195</wp:posOffset>
                </wp:positionH>
                <wp:positionV relativeFrom="paragraph">
                  <wp:posOffset>48895</wp:posOffset>
                </wp:positionV>
                <wp:extent cx="1380490" cy="466090"/>
                <wp:effectExtent l="0" t="0" r="0" b="0"/>
                <wp:wrapNone/>
                <wp:docPr id="4" name="Frame2"/>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rPr/>
                            </w:pPr>
                            <w:r>
                              <w:rPr/>
                              <w:t xml:space="preserve">Expand operations (PPE) </w:t>
                            </w:r>
                            <w:r>
                              <w:rPr/>
                              <w:drawing>
                                <wp:inline distT="0" distB="0" distL="0" distR="0">
                                  <wp:extent cx="1380490" cy="46609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26" t="-77" r="-26" b="-77"/>
                                          <a:stretch>
                                            <a:fillRect/>
                                          </a:stretch>
                                        </pic:blipFill>
                                        <pic:spPr bwMode="auto">
                                          <a:xfrm>
                                            <a:off x="0" y="0"/>
                                            <a:ext cx="1380490" cy="46609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3.85pt;mso-position-vertical-relative:text;margin-left:132.85pt;mso-position-horizontal-relative:text">
                <v:textbox>
                  <w:txbxContent>
                    <w:p>
                      <w:pPr>
                        <w:pStyle w:val="Normal"/>
                        <w:rPr/>
                      </w:pPr>
                      <w:r>
                        <w:rPr/>
                        <w:t xml:space="preserve">Expand operations (PPE) </w:t>
                      </w:r>
                      <w:r>
                        <w:rPr/>
                        <w:drawing>
                          <wp:inline distT="0" distB="0" distL="0" distR="0">
                            <wp:extent cx="1380490" cy="46609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26" t="-77" r="-26" b="-77"/>
                                    <a:stretch>
                                      <a:fillRect/>
                                    </a:stretch>
                                  </pic:blipFill>
                                  <pic:spPr bwMode="auto">
                                    <a:xfrm>
                                      <a:off x="0" y="0"/>
                                      <a:ext cx="1380490" cy="46609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1687195</wp:posOffset>
                </wp:positionH>
                <wp:positionV relativeFrom="paragraph">
                  <wp:posOffset>-12065</wp:posOffset>
                </wp:positionV>
                <wp:extent cx="1380490" cy="831850"/>
                <wp:effectExtent l="0" t="0" r="0" b="0"/>
                <wp:wrapNone/>
                <wp:docPr id="7" name="Frame3"/>
                <a:graphic xmlns:a="http://schemas.openxmlformats.org/drawingml/2006/main">
                  <a:graphicData uri="http://schemas.microsoft.com/office/word/2010/wordprocessingShape">
                    <wps:wsp>
                      <wps:cNvSpPr txBox="1"/>
                      <wps:spPr>
                        <a:xfrm>
                          <a:off x="0" y="0"/>
                          <a:ext cx="1380490" cy="831850"/>
                        </a:xfrm>
                        <a:prstGeom prst="rect"/>
                        <a:solidFill>
                          <a:srgbClr val="FFFFFF"/>
                        </a:solidFill>
                        <a:ln w="9525">
                          <a:solidFill>
                            <a:srgbClr val="000000"/>
                          </a:solidFill>
                        </a:ln>
                      </wps:spPr>
                      <wps:txbx>
                        <w:txbxContent>
                          <w:p>
                            <w:pPr>
                              <w:pStyle w:val="Normal"/>
                              <w:rPr/>
                            </w:pPr>
                            <w:r>
                              <w:rPr/>
                              <w:t>Use PPE to build/sell products - increase A/R</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65.5pt;mso-wrap-distance-left:9.05pt;mso-wrap-distance-right:9.05pt;mso-wrap-distance-top:0pt;mso-wrap-distance-bottom:0pt;margin-top:-0.95pt;mso-position-vertical-relative:text;margin-left:132.85pt;mso-position-horizontal-relative:text">
                <v:textbox>
                  <w:txbxContent>
                    <w:p>
                      <w:pPr>
                        <w:pStyle w:val="Normal"/>
                        <w:rPr/>
                      </w:pPr>
                      <w:r>
                        <w:rPr/>
                        <w:t>Use PPE to build/sell products - increase A/R</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2331720</wp:posOffset>
                </wp:positionH>
                <wp:positionV relativeFrom="paragraph">
                  <wp:posOffset>-1889760</wp:posOffset>
                </wp:positionV>
                <wp:extent cx="0" cy="3108960"/>
                <wp:effectExtent l="38100" t="0" r="38100" b="0"/>
                <wp:wrapNone/>
                <wp:docPr id="8" name=""/>
                <a:graphic xmlns:a="http://schemas.openxmlformats.org/drawingml/2006/main">
                  <a:graphicData uri="http://schemas.microsoft.com/office/word/2010/wordprocessingShape">
                    <wps:wsp>
                      <wps:cNvSpPr/>
                      <wps:spPr>
                        <a:xfrm>
                          <a:off x="0" y="0"/>
                          <a:ext cx="0" cy="3108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3.6pt,-148.8pt" to="183.6pt,95.9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1687195</wp:posOffset>
                </wp:positionH>
                <wp:positionV relativeFrom="paragraph">
                  <wp:posOffset>117475</wp:posOffset>
                </wp:positionV>
                <wp:extent cx="1380490" cy="831850"/>
                <wp:effectExtent l="0" t="0" r="0" b="0"/>
                <wp:wrapNone/>
                <wp:docPr id="9" name="Frame4"/>
                <a:graphic xmlns:a="http://schemas.openxmlformats.org/drawingml/2006/main">
                  <a:graphicData uri="http://schemas.microsoft.com/office/word/2010/wordprocessingShape">
                    <wps:wsp>
                      <wps:cNvSpPr txBox="1"/>
                      <wps:spPr>
                        <a:xfrm>
                          <a:off x="0" y="0"/>
                          <a:ext cx="1380490" cy="831850"/>
                        </a:xfrm>
                        <a:prstGeom prst="rect"/>
                        <a:solidFill>
                          <a:srgbClr val="FFFFFF"/>
                        </a:solidFill>
                        <a:ln w="9525">
                          <a:solidFill>
                            <a:srgbClr val="000000"/>
                          </a:solidFill>
                        </a:ln>
                      </wps:spPr>
                      <wps:txbx>
                        <w:txbxContent>
                          <w:p>
                            <w:pPr>
                              <w:pStyle w:val="Normal"/>
                              <w:rPr/>
                            </w:pPr>
                            <w:r>
                              <w:rPr/>
                              <w:t>Use revenue from customers to repay line of credit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65.5pt;mso-wrap-distance-left:9.05pt;mso-wrap-distance-right:9.05pt;mso-wrap-distance-top:0pt;mso-wrap-distance-bottom:0pt;margin-top:9.25pt;mso-position-vertical-relative:text;margin-left:132.85pt;mso-position-horizontal-relative:text">
                <v:textbox>
                  <w:txbxContent>
                    <w:p>
                      <w:pPr>
                        <w:pStyle w:val="Normal"/>
                        <w:rPr/>
                      </w:pPr>
                      <w:r>
                        <w:rPr/>
                        <w:t>Use revenue from customers to repay line of credit</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1051560</wp:posOffset>
                </wp:positionH>
                <wp:positionV relativeFrom="paragraph">
                  <wp:posOffset>168275</wp:posOffset>
                </wp:positionV>
                <wp:extent cx="1280160" cy="0"/>
                <wp:effectExtent l="0" t="5080" r="0" b="5080"/>
                <wp:wrapNone/>
                <wp:docPr id="10" name=""/>
                <a:graphic xmlns:a="http://schemas.openxmlformats.org/drawingml/2006/main">
                  <a:graphicData uri="http://schemas.microsoft.com/office/word/2010/wordprocessingShape">
                    <wps:wsp>
                      <wps:cNvSpPr/>
                      <wps:spPr>
                        <a:xfrm flipH="1">
                          <a:off x="0" y="0"/>
                          <a:ext cx="1280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13.25pt" to="183.55pt,13.25pt" stroked="t" o:allowincell="f" style="position:absolute;flip:x">
                <v:stroke color="black" weight="9360" joinstyle="miter" endcap="flat"/>
                <v:fill o:detectmouseclick="t" on="false"/>
                <w10:wrap type="none"/>
              </v:line>
            </w:pict>
          </mc:Fallback>
        </mc:AlternateContent>
      </w:r>
    </w:p>
    <w:p>
      <w:pPr>
        <w:pStyle w:val="Normal"/>
        <w:rPr/>
      </w:pPr>
      <w:r>
        <w:rPr/>
      </w:r>
    </w:p>
    <w:tbl>
      <w:tblPr>
        <w:tblW w:w="4950" w:type="dxa"/>
        <w:jc w:val="start"/>
        <w:tblInd w:w="930" w:type="dxa"/>
        <w:tblLayout w:type="fixed"/>
        <w:tblCellMar>
          <w:top w:w="0" w:type="dxa"/>
          <w:start w:w="30" w:type="dxa"/>
          <w:bottom w:w="0" w:type="dxa"/>
          <w:end w:w="30" w:type="dxa"/>
        </w:tblCellMar>
      </w:tblPr>
      <w:tblGrid>
        <w:gridCol w:w="3780"/>
        <w:gridCol w:w="1170"/>
      </w:tblGrid>
      <w:tr>
        <w:trPr>
          <w:trHeight w:val="247" w:hRule="atLeast"/>
        </w:trPr>
        <w:tc>
          <w:tcPr>
            <w:tcW w:w="4950" w:type="dxa"/>
            <w:gridSpan w:val="2"/>
            <w:tcBorders/>
          </w:tcPr>
          <w:p>
            <w:pPr>
              <w:pStyle w:val="Heading1"/>
              <w:ind w:hanging="0" w:start="0"/>
              <w:jc w:val="start"/>
              <w:rPr/>
            </w:pPr>
            <w:r>
              <w:rPr/>
              <w:t>Total Cash Flow - 1987 - 1991</w:t>
            </w:r>
          </w:p>
        </w:tc>
      </w:tr>
      <w:tr>
        <w:trPr>
          <w:trHeight w:val="247" w:hRule="atLeast"/>
        </w:trPr>
        <w:tc>
          <w:tcPr>
            <w:tcW w:w="3780" w:type="dxa"/>
            <w:tcBorders/>
          </w:tcPr>
          <w:p>
            <w:pPr>
              <w:pStyle w:val="Normal"/>
              <w:rPr>
                <w:color w:val="000000"/>
                <w:lang w:eastAsia="en-US"/>
              </w:rPr>
            </w:pPr>
            <w:r>
              <w:rPr>
                <w:color w:val="000000"/>
                <w:lang w:eastAsia="en-US"/>
              </w:rPr>
              <w:t>Cash from Operations</w:t>
            </w:r>
          </w:p>
        </w:tc>
        <w:tc>
          <w:tcPr>
            <w:tcW w:w="1170" w:type="dxa"/>
            <w:tcBorders/>
          </w:tcPr>
          <w:p>
            <w:pPr>
              <w:pStyle w:val="Normal"/>
              <w:jc w:val="end"/>
              <w:rPr>
                <w:color w:val="000000"/>
                <w:lang w:eastAsia="en-US"/>
              </w:rPr>
            </w:pPr>
            <w:r>
              <w:rPr>
                <w:color w:val="000000"/>
                <w:lang w:eastAsia="en-US"/>
              </w:rPr>
              <w:t>984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rPr>
                <w:rFonts w:eastAsia="Arial"/>
                <w:color w:val="000000"/>
                <w:lang w:eastAsia="en-US"/>
              </w:rPr>
            </w:pPr>
            <w:r>
              <w:rPr>
                <w:rFonts w:eastAsia="Arial"/>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Investing</w:t>
            </w:r>
          </w:p>
        </w:tc>
        <w:tc>
          <w:tcPr>
            <w:tcW w:w="1170" w:type="dxa"/>
            <w:tcBorders/>
          </w:tcPr>
          <w:p>
            <w:pPr>
              <w:pStyle w:val="Normal"/>
              <w:rPr>
                <w:rFonts w:eastAsia="Arial"/>
                <w:color w:val="000000"/>
                <w:lang w:eastAsia="en-US"/>
              </w:rPr>
            </w:pPr>
            <w:r>
              <w:rPr>
                <w:rFonts w:eastAsia="Arial"/>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Additions to PPE</w:t>
            </w:r>
          </w:p>
        </w:tc>
        <w:tc>
          <w:tcPr>
            <w:tcW w:w="1170" w:type="dxa"/>
            <w:tcBorders/>
          </w:tcPr>
          <w:p>
            <w:pPr>
              <w:pStyle w:val="Normal"/>
              <w:jc w:val="end"/>
              <w:rPr>
                <w:color w:val="000000"/>
                <w:lang w:eastAsia="en-US"/>
              </w:rPr>
            </w:pPr>
            <w:r>
              <w:rPr>
                <w:color w:val="000000"/>
                <w:lang w:eastAsia="en-US"/>
              </w:rPr>
              <w:t>-974</w:t>
            </w:r>
          </w:p>
        </w:tc>
      </w:tr>
      <w:tr>
        <w:trPr>
          <w:trHeight w:val="247" w:hRule="atLeast"/>
        </w:trPr>
        <w:tc>
          <w:tcPr>
            <w:tcW w:w="3780" w:type="dxa"/>
            <w:tcBorders/>
          </w:tcPr>
          <w:p>
            <w:pPr>
              <w:pStyle w:val="Normal"/>
              <w:rPr>
                <w:color w:val="000000"/>
                <w:lang w:eastAsia="en-US"/>
              </w:rPr>
            </w:pPr>
            <w:r>
              <w:rPr>
                <w:color w:val="000000"/>
                <w:lang w:eastAsia="en-US"/>
              </w:rPr>
              <w:t>Proceeds from Sale (subsidiaries, lease, PPE)</w:t>
            </w:r>
          </w:p>
        </w:tc>
        <w:tc>
          <w:tcPr>
            <w:tcW w:w="1170" w:type="dxa"/>
            <w:tcBorders/>
          </w:tcPr>
          <w:p>
            <w:pPr>
              <w:pStyle w:val="Normal"/>
              <w:jc w:val="end"/>
              <w:rPr>
                <w:color w:val="000000"/>
                <w:lang w:eastAsia="en-US"/>
              </w:rPr>
            </w:pPr>
            <w:r>
              <w:rPr>
                <w:color w:val="000000"/>
                <w:lang w:eastAsia="en-US"/>
              </w:rPr>
              <w:t>401.2</w:t>
            </w:r>
          </w:p>
        </w:tc>
      </w:tr>
      <w:tr>
        <w:trPr>
          <w:trHeight w:val="247" w:hRule="atLeast"/>
        </w:trPr>
        <w:tc>
          <w:tcPr>
            <w:tcW w:w="3780" w:type="dxa"/>
            <w:tcBorders/>
          </w:tcPr>
          <w:p>
            <w:pPr>
              <w:pStyle w:val="Normal"/>
              <w:rPr>
                <w:color w:val="000000"/>
                <w:lang w:eastAsia="en-US"/>
              </w:rPr>
            </w:pPr>
            <w:r>
              <w:rPr>
                <w:color w:val="000000"/>
                <w:lang w:eastAsia="en-US"/>
              </w:rPr>
              <w:t>Dividends</w:t>
            </w:r>
          </w:p>
        </w:tc>
        <w:tc>
          <w:tcPr>
            <w:tcW w:w="1170" w:type="dxa"/>
            <w:tcBorders/>
          </w:tcPr>
          <w:p>
            <w:pPr>
              <w:pStyle w:val="Normal"/>
              <w:jc w:val="end"/>
              <w:rPr>
                <w:color w:val="000000"/>
                <w:lang w:eastAsia="en-US"/>
              </w:rPr>
            </w:pPr>
            <w:r>
              <w:rPr>
                <w:color w:val="000000"/>
                <w:lang w:eastAsia="en-US"/>
              </w:rPr>
              <w:t>20.9</w:t>
            </w:r>
          </w:p>
        </w:tc>
      </w:tr>
      <w:tr>
        <w:trPr>
          <w:trHeight w:val="247" w:hRule="atLeast"/>
        </w:trPr>
        <w:tc>
          <w:tcPr>
            <w:tcW w:w="3780" w:type="dxa"/>
            <w:tcBorders/>
          </w:tcPr>
          <w:p>
            <w:pPr>
              <w:pStyle w:val="Normal"/>
              <w:rPr>
                <w:color w:val="000000"/>
                <w:lang w:eastAsia="en-US"/>
              </w:rPr>
            </w:pPr>
            <w:r>
              <w:rPr>
                <w:color w:val="000000"/>
                <w:lang w:eastAsia="en-US"/>
              </w:rPr>
              <w:t>Other</w:t>
            </w:r>
          </w:p>
        </w:tc>
        <w:tc>
          <w:tcPr>
            <w:tcW w:w="1170" w:type="dxa"/>
            <w:tcBorders/>
          </w:tcPr>
          <w:p>
            <w:pPr>
              <w:pStyle w:val="Normal"/>
              <w:jc w:val="end"/>
              <w:rPr>
                <w:color w:val="000000"/>
                <w:lang w:eastAsia="en-US"/>
              </w:rPr>
            </w:pPr>
            <w:r>
              <w:rPr>
                <w:color w:val="000000"/>
                <w:lang w:eastAsia="en-US"/>
              </w:rPr>
              <w:t>2.6</w:t>
            </w:r>
          </w:p>
        </w:tc>
      </w:tr>
      <w:tr>
        <w:trPr>
          <w:trHeight w:val="247" w:hRule="atLeast"/>
        </w:trPr>
        <w:tc>
          <w:tcPr>
            <w:tcW w:w="3780" w:type="dxa"/>
            <w:tcBorders/>
          </w:tcPr>
          <w:p>
            <w:pPr>
              <w:pStyle w:val="Normal"/>
              <w:rPr>
                <w:color w:val="000000"/>
                <w:lang w:eastAsia="en-US"/>
              </w:rPr>
            </w:pPr>
            <w:r>
              <w:rPr>
                <w:color w:val="000000"/>
                <w:lang w:eastAsia="en-US"/>
              </w:rPr>
              <w:t>Cash from Investment</w:t>
            </w:r>
          </w:p>
        </w:tc>
        <w:tc>
          <w:tcPr>
            <w:tcW w:w="1170" w:type="dxa"/>
            <w:tcBorders/>
          </w:tcPr>
          <w:p>
            <w:pPr>
              <w:pStyle w:val="Normal"/>
              <w:jc w:val="end"/>
              <w:rPr>
                <w:color w:val="000000"/>
                <w:lang w:eastAsia="en-US"/>
              </w:rPr>
            </w:pPr>
            <w:r>
              <w:rPr>
                <w:color w:val="000000"/>
                <w:lang w:eastAsia="en-US"/>
              </w:rPr>
              <w:t>-549.3</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rPr>
                <w:rFonts w:eastAsia="Arial"/>
                <w:color w:val="000000"/>
                <w:lang w:eastAsia="en-US"/>
              </w:rPr>
            </w:pPr>
            <w:r>
              <w:rPr>
                <w:rFonts w:eastAsia="Arial"/>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Financing</w:t>
            </w:r>
          </w:p>
        </w:tc>
        <w:tc>
          <w:tcPr>
            <w:tcW w:w="1170" w:type="dxa"/>
            <w:tcBorders/>
          </w:tcPr>
          <w:p>
            <w:pPr>
              <w:pStyle w:val="Normal"/>
              <w:rPr>
                <w:rFonts w:eastAsia="Arial"/>
                <w:color w:val="000000"/>
                <w:lang w:eastAsia="en-US"/>
              </w:rPr>
            </w:pPr>
            <w:r>
              <w:rPr>
                <w:rFonts w:eastAsia="Arial"/>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Borrowing - lines of credit</w:t>
            </w:r>
          </w:p>
        </w:tc>
        <w:tc>
          <w:tcPr>
            <w:tcW w:w="1170" w:type="dxa"/>
            <w:tcBorders/>
          </w:tcPr>
          <w:p>
            <w:pPr>
              <w:pStyle w:val="Normal"/>
              <w:jc w:val="end"/>
              <w:rPr>
                <w:color w:val="000000"/>
                <w:lang w:eastAsia="en-US"/>
              </w:rPr>
            </w:pPr>
            <w:r>
              <w:rPr>
                <w:color w:val="000000"/>
                <w:lang w:eastAsia="en-US"/>
              </w:rPr>
              <w:t>3449.6</w:t>
            </w:r>
          </w:p>
        </w:tc>
      </w:tr>
      <w:tr>
        <w:trPr>
          <w:trHeight w:val="247" w:hRule="atLeast"/>
        </w:trPr>
        <w:tc>
          <w:tcPr>
            <w:tcW w:w="3780" w:type="dxa"/>
            <w:tcBorders/>
          </w:tcPr>
          <w:p>
            <w:pPr>
              <w:pStyle w:val="Normal"/>
              <w:rPr>
                <w:color w:val="000000"/>
                <w:lang w:eastAsia="en-US"/>
              </w:rPr>
            </w:pPr>
            <w:r>
              <w:rPr>
                <w:color w:val="000000"/>
                <w:lang w:eastAsia="en-US"/>
              </w:rPr>
              <w:t>Repayment of borrowing</w:t>
            </w:r>
          </w:p>
        </w:tc>
        <w:tc>
          <w:tcPr>
            <w:tcW w:w="1170" w:type="dxa"/>
            <w:tcBorders/>
          </w:tcPr>
          <w:p>
            <w:pPr>
              <w:pStyle w:val="Normal"/>
              <w:jc w:val="end"/>
              <w:rPr>
                <w:color w:val="000000"/>
                <w:lang w:eastAsia="en-US"/>
              </w:rPr>
            </w:pPr>
            <w:r>
              <w:rPr>
                <w:color w:val="000000"/>
                <w:lang w:eastAsia="en-US"/>
              </w:rPr>
              <w:t>-3558.5</w:t>
            </w:r>
          </w:p>
        </w:tc>
      </w:tr>
      <w:tr>
        <w:trPr>
          <w:trHeight w:val="247" w:hRule="atLeast"/>
        </w:trPr>
        <w:tc>
          <w:tcPr>
            <w:tcW w:w="3780" w:type="dxa"/>
            <w:tcBorders/>
          </w:tcPr>
          <w:p>
            <w:pPr>
              <w:pStyle w:val="Normal"/>
              <w:rPr>
                <w:color w:val="000000"/>
                <w:lang w:eastAsia="en-US"/>
              </w:rPr>
            </w:pPr>
            <w:r>
              <w:rPr>
                <w:color w:val="000000"/>
                <w:lang w:eastAsia="en-US"/>
              </w:rPr>
              <w:t>Issuance of LT debt</w:t>
            </w:r>
          </w:p>
        </w:tc>
        <w:tc>
          <w:tcPr>
            <w:tcW w:w="1170" w:type="dxa"/>
            <w:tcBorders/>
          </w:tcPr>
          <w:p>
            <w:pPr>
              <w:pStyle w:val="Normal"/>
              <w:jc w:val="end"/>
              <w:rPr>
                <w:color w:val="000000"/>
                <w:lang w:eastAsia="en-US"/>
              </w:rPr>
            </w:pPr>
            <w:r>
              <w:rPr>
                <w:color w:val="000000"/>
                <w:lang w:eastAsia="en-US"/>
              </w:rPr>
              <w:t>551</w:t>
            </w:r>
          </w:p>
        </w:tc>
      </w:tr>
      <w:tr>
        <w:trPr>
          <w:trHeight w:val="247" w:hRule="atLeast"/>
        </w:trPr>
        <w:tc>
          <w:tcPr>
            <w:tcW w:w="3780" w:type="dxa"/>
            <w:tcBorders/>
          </w:tcPr>
          <w:p>
            <w:pPr>
              <w:pStyle w:val="Normal"/>
              <w:rPr>
                <w:color w:val="000000"/>
                <w:lang w:eastAsia="en-US"/>
              </w:rPr>
            </w:pPr>
            <w:r>
              <w:rPr>
                <w:color w:val="000000"/>
                <w:lang w:eastAsia="en-US"/>
              </w:rPr>
              <w:t>Payments of LT debt</w:t>
            </w:r>
          </w:p>
        </w:tc>
        <w:tc>
          <w:tcPr>
            <w:tcW w:w="1170" w:type="dxa"/>
            <w:tcBorders/>
          </w:tcPr>
          <w:p>
            <w:pPr>
              <w:pStyle w:val="Normal"/>
              <w:jc w:val="end"/>
              <w:rPr>
                <w:color w:val="000000"/>
                <w:lang w:eastAsia="en-US"/>
              </w:rPr>
            </w:pPr>
            <w:r>
              <w:rPr>
                <w:color w:val="000000"/>
                <w:lang w:eastAsia="en-US"/>
              </w:rPr>
              <w:t>-454.9</w:t>
            </w:r>
          </w:p>
        </w:tc>
      </w:tr>
      <w:tr>
        <w:trPr>
          <w:trHeight w:val="247" w:hRule="atLeast"/>
        </w:trPr>
        <w:tc>
          <w:tcPr>
            <w:tcW w:w="3780" w:type="dxa"/>
            <w:tcBorders/>
          </w:tcPr>
          <w:p>
            <w:pPr>
              <w:pStyle w:val="Normal"/>
              <w:rPr>
                <w:color w:val="000000"/>
                <w:lang w:eastAsia="en-US"/>
              </w:rPr>
            </w:pPr>
            <w:r>
              <w:rPr>
                <w:color w:val="000000"/>
                <w:lang w:eastAsia="en-US"/>
              </w:rPr>
              <w:t>Stock repurchase</w:t>
            </w:r>
          </w:p>
        </w:tc>
        <w:tc>
          <w:tcPr>
            <w:tcW w:w="1170" w:type="dxa"/>
            <w:tcBorders/>
          </w:tcPr>
          <w:p>
            <w:pPr>
              <w:pStyle w:val="Normal"/>
              <w:jc w:val="end"/>
              <w:rPr>
                <w:color w:val="000000"/>
                <w:lang w:eastAsia="en-US"/>
              </w:rPr>
            </w:pPr>
            <w:r>
              <w:rPr>
                <w:color w:val="000000"/>
                <w:lang w:eastAsia="en-US"/>
              </w:rPr>
              <w:t>-0.5</w:t>
            </w:r>
          </w:p>
        </w:tc>
      </w:tr>
      <w:tr>
        <w:trPr>
          <w:trHeight w:val="247" w:hRule="atLeast"/>
        </w:trPr>
        <w:tc>
          <w:tcPr>
            <w:tcW w:w="3780" w:type="dxa"/>
            <w:tcBorders/>
          </w:tcPr>
          <w:p>
            <w:pPr>
              <w:pStyle w:val="Normal"/>
              <w:rPr>
                <w:color w:val="000000"/>
                <w:lang w:eastAsia="en-US"/>
              </w:rPr>
            </w:pPr>
            <w:r>
              <w:rPr>
                <w:color w:val="000000"/>
                <w:lang w:eastAsia="en-US"/>
              </w:rPr>
              <w:t>Dividends paid</w:t>
            </w:r>
          </w:p>
        </w:tc>
        <w:tc>
          <w:tcPr>
            <w:tcW w:w="1170" w:type="dxa"/>
            <w:tcBorders/>
          </w:tcPr>
          <w:p>
            <w:pPr>
              <w:pStyle w:val="Normal"/>
              <w:jc w:val="end"/>
              <w:rPr>
                <w:color w:val="000000"/>
                <w:lang w:eastAsia="en-US"/>
              </w:rPr>
            </w:pPr>
            <w:r>
              <w:rPr>
                <w:color w:val="000000"/>
                <w:lang w:eastAsia="en-US"/>
              </w:rPr>
              <w:t>-281.84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snapToGrid w:val="false"/>
              <w:jc w:val="end"/>
              <w:rPr>
                <w:color w:val="000000"/>
                <w:lang w:eastAsia="en-US"/>
              </w:rPr>
            </w:pPr>
            <w:r>
              <w:rPr>
                <w:color w:val="000000"/>
                <w:lang w:eastAsia="en-US"/>
              </w:rPr>
            </w:r>
          </w:p>
        </w:tc>
      </w:tr>
      <w:tr>
        <w:trPr>
          <w:trHeight w:val="247" w:hRule="atLeast"/>
        </w:trPr>
        <w:tc>
          <w:tcPr>
            <w:tcW w:w="3780" w:type="dxa"/>
            <w:tcBorders/>
          </w:tcPr>
          <w:p>
            <w:pPr>
              <w:pStyle w:val="Normal"/>
              <w:rPr>
                <w:color w:val="000000"/>
                <w:lang w:eastAsia="en-US"/>
              </w:rPr>
            </w:pPr>
            <w:r>
              <w:rPr>
                <w:color w:val="000000"/>
                <w:lang w:eastAsia="en-US"/>
              </w:rPr>
              <w:t>Cash from Financing</w:t>
            </w:r>
          </w:p>
        </w:tc>
        <w:tc>
          <w:tcPr>
            <w:tcW w:w="1170" w:type="dxa"/>
            <w:tcBorders/>
          </w:tcPr>
          <w:p>
            <w:pPr>
              <w:pStyle w:val="Normal"/>
              <w:jc w:val="end"/>
              <w:rPr>
                <w:color w:val="000000"/>
                <w:lang w:eastAsia="en-US"/>
              </w:rPr>
            </w:pPr>
            <w:r>
              <w:rPr>
                <w:color w:val="000000"/>
                <w:lang w:eastAsia="en-US"/>
              </w:rPr>
              <w:t>-295.14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snapToGrid w:val="false"/>
              <w:jc w:val="end"/>
              <w:rPr>
                <w:color w:val="000000"/>
                <w:lang w:eastAsia="en-US"/>
              </w:rPr>
            </w:pPr>
            <w:r>
              <w:rPr>
                <w:color w:val="000000"/>
                <w:lang w:eastAsia="en-US"/>
              </w:rPr>
            </w:r>
          </w:p>
        </w:tc>
      </w:tr>
      <w:tr>
        <w:trPr>
          <w:trHeight w:val="247" w:hRule="atLeast"/>
        </w:trPr>
        <w:tc>
          <w:tcPr>
            <w:tcW w:w="3780" w:type="dxa"/>
            <w:tcBorders/>
          </w:tcPr>
          <w:p>
            <w:pPr>
              <w:pStyle w:val="Normal"/>
              <w:rPr>
                <w:color w:val="000000"/>
                <w:lang w:eastAsia="en-US"/>
              </w:rPr>
            </w:pPr>
            <w:r>
              <w:rPr>
                <w:color w:val="000000"/>
                <w:lang w:eastAsia="en-US"/>
              </w:rPr>
              <w:t>Net Cash</w:t>
            </w:r>
          </w:p>
        </w:tc>
        <w:tc>
          <w:tcPr>
            <w:tcW w:w="1170" w:type="dxa"/>
            <w:tcBorders/>
          </w:tcPr>
          <w:p>
            <w:pPr>
              <w:pStyle w:val="Normal"/>
              <w:jc w:val="end"/>
              <w:rPr>
                <w:color w:val="000000"/>
                <w:lang w:eastAsia="en-US"/>
              </w:rPr>
            </w:pPr>
            <w:r>
              <w:rPr>
                <w:color w:val="000000"/>
                <w:lang w:eastAsia="en-US"/>
              </w:rPr>
              <w:t>139.56</w:t>
            </w:r>
          </w:p>
        </w:tc>
      </w:tr>
    </w:tbl>
    <w:p>
      <w:pPr>
        <w:pStyle w:val="Normal"/>
        <w:rPr/>
      </w:pPr>
      <w:r>
        <w:rPr/>
        <w:t>Northrop is financing dividends through cash from operations.  Their financial flexibility has decreased over the past five years.  The company has paid off a significant amount of debt (this reduces the amount of cash they have available for investment) and their accounts receivable has decreased significantly reducing future cash flows from operations.  Information on non-cash transactions such as sale of PP&amp;E for equity would have been useful in analyzing the company's position.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color w:val="000000"/>
      <w:lang w:eastAsia="en-US"/>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2000-09-09T17:17:00Z</dcterms:created>
  <dc:creator>Kimberly Kupiecki</dc:creator>
  <dc:description/>
  <dc:language>en-CA</dc:language>
  <cp:lastModifiedBy>Kimberly Kupiecki</cp:lastModifiedBy>
  <dcterms:modified xsi:type="dcterms:W3CDTF">2000-09-09T23:07:00Z</dcterms:modified>
  <cp:revision>6</cp:revision>
  <dc:subject/>
  <dc:title>Case 5-1 Northrop, Statement of Cash Flows</dc:title>
</cp:coreProperties>
</file>