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pPr>
      <w:r>
        <w:rPr/>
        <w:t>E203</w:t>
      </w:r>
    </w:p>
    <w:p>
      <w:pPr>
        <w:pStyle w:val="Normal"/>
        <w:spacing w:lineRule="auto" w:line="360"/>
        <w:jc w:val="center"/>
        <w:rPr>
          <w:sz w:val="24"/>
        </w:rPr>
      </w:pPr>
      <w:r>
        <w:rPr>
          <w:b/>
          <w:sz w:val="30"/>
        </w:rPr>
        <w:t>Solutions to Homework 10</w:t>
      </w:r>
    </w:p>
    <w:p>
      <w:pPr>
        <w:pStyle w:val="Normal"/>
        <w:spacing w:lineRule="auto" w:line="360"/>
        <w:rPr>
          <w:sz w:val="24"/>
        </w:rPr>
      </w:pPr>
      <w:r>
        <w:rPr>
          <w:sz w:val="24"/>
        </w:rPr>
      </w:r>
    </w:p>
    <w:p>
      <w:pPr>
        <w:pStyle w:val="BodyText"/>
        <w:spacing w:lineRule="auto" w:line="360"/>
        <w:rPr/>
      </w:pPr>
      <w:r>
        <w:rPr/>
        <w:t>16.1)</w:t>
      </w:r>
    </w:p>
    <w:p>
      <w:pPr>
        <w:pStyle w:val="Normal"/>
        <w:numPr>
          <w:ilvl w:val="0"/>
          <w:numId w:val="2"/>
        </w:numPr>
        <w:spacing w:lineRule="auto" w:line="360"/>
        <w:rPr>
          <w:sz w:val="24"/>
        </w:rPr>
      </w:pPr>
      <w:r>
        <w:rPr>
          <w:sz w:val="24"/>
        </w:rPr>
        <w:t xml:space="preserve">If there is a boom, Good Times will be able to pay off its debt holders and will have </w:t>
      </w:r>
      <w:r>
        <w:rPr>
          <w:b/>
          <w:bCs/>
          <w:sz w:val="24"/>
        </w:rPr>
        <w:t>$250</w:t>
      </w:r>
      <w:r>
        <w:rPr>
          <w:sz w:val="24"/>
        </w:rPr>
        <w:t>-$150 for its shareholders. If instead there is a recession next period, Good Times will have to declare bankruptcy and in this case its shareholders will get zero cash flow. The risk-neutral probability of a boom is 0.6 and that of a recession is 0.4. Also the equity discount rate is 12%. Therefore, the Present Value of the equity of Good Times is given by  (0.6*$</w:t>
      </w:r>
      <w:r>
        <w:rPr>
          <w:b/>
          <w:bCs/>
          <w:sz w:val="24"/>
        </w:rPr>
        <w:t>100</w:t>
      </w:r>
      <w:r>
        <w:rPr>
          <w:sz w:val="24"/>
        </w:rPr>
        <w:t xml:space="preserve"> + 0.4*$0) / 1.12 = $53.57m.</w:t>
      </w:r>
    </w:p>
    <w:p>
      <w:pPr>
        <w:pStyle w:val="Normal"/>
        <w:numPr>
          <w:ilvl w:val="0"/>
          <w:numId w:val="2"/>
        </w:numPr>
        <w:spacing w:lineRule="auto" w:line="360"/>
        <w:rPr>
          <w:sz w:val="24"/>
        </w:rPr>
      </w:pPr>
      <w:r>
        <w:rPr>
          <w:sz w:val="24"/>
        </w:rPr>
        <w:t>Let the total bankruptcy costs be given by $x. Then the present value of the bonds may be expressed as $108.93 = (0.6*$150 + 0.4*($100-$x))/1.12. This is a single equation in a single unknown. We can solve this equation for x to find that the costs of bankruptcy are $20m.</w:t>
      </w:r>
    </w:p>
    <w:p>
      <w:pPr>
        <w:pStyle w:val="Normal"/>
        <w:numPr>
          <w:ilvl w:val="0"/>
          <w:numId w:val="2"/>
        </w:numPr>
        <w:spacing w:lineRule="auto" w:line="360"/>
        <w:rPr>
          <w:sz w:val="24"/>
        </w:rPr>
      </w:pPr>
      <w:r>
        <w:rPr>
          <w:sz w:val="24"/>
        </w:rPr>
        <w:t>The value of Good Times is the value of its debt plus the value of its equity. This means that V = S + B = $53.57 + $108.93 = $162.5m</w:t>
      </w:r>
    </w:p>
    <w:p>
      <w:pPr>
        <w:pStyle w:val="Normal"/>
        <w:numPr>
          <w:ilvl w:val="0"/>
          <w:numId w:val="2"/>
        </w:numPr>
        <w:spacing w:lineRule="auto" w:line="360"/>
        <w:rPr>
          <w:sz w:val="24"/>
        </w:rPr>
      </w:pPr>
      <w:r>
        <w:rPr>
          <w:sz w:val="24"/>
        </w:rPr>
        <w:t>The promised return on the bond is the rate which make the bond riskless at its current valuation. Therefore, if Rf is the promised rate on the bond then Rf must solve the following equation: $108.93 = (0.6*$150 + $0.4*$150) / (1+Rf) =&gt; Rf = 37.7%</w:t>
      </w:r>
    </w:p>
    <w:p>
      <w:pPr>
        <w:pStyle w:val="Normal"/>
        <w:spacing w:lineRule="auto" w:line="360"/>
        <w:rPr>
          <w:sz w:val="24"/>
        </w:rPr>
      </w:pPr>
      <w:r>
        <w:rPr>
          <w:sz w:val="24"/>
        </w:rPr>
      </w:r>
    </w:p>
    <w:p>
      <w:pPr>
        <w:pStyle w:val="Normal"/>
        <w:spacing w:lineRule="auto" w:line="360"/>
        <w:rPr>
          <w:sz w:val="24"/>
        </w:rPr>
      </w:pPr>
      <w:r>
        <w:rPr>
          <w:sz w:val="24"/>
        </w:rPr>
        <w:t>16.2)</w:t>
      </w:r>
    </w:p>
    <w:p>
      <w:pPr>
        <w:pStyle w:val="Normal"/>
        <w:spacing w:lineRule="auto" w:line="360"/>
        <w:rPr>
          <w:sz w:val="24"/>
        </w:rPr>
      </w:pPr>
      <w:r>
        <w:rPr>
          <w:sz w:val="24"/>
        </w:rPr>
        <w:t>The tax loss carry forwards will make Chrysler’s effective tax rate zero. Therefore, the company does not need any tax deductions such as those provided by debt. Moreover though the firm does not face any taxes, it does face the very real threat of bankruptcy. Additional debt would only increase the likelihood of bankruptcy. Since the firm does not gain any benefits of the tax shield that debt normally provides, and because additional debt only increases the probability of bankruptcy, Chrysler should issue equity.</w:t>
      </w:r>
    </w:p>
    <w:p>
      <w:pPr>
        <w:pStyle w:val="Normal"/>
        <w:spacing w:lineRule="auto" w:line="360"/>
        <w:rPr>
          <w:sz w:val="24"/>
        </w:rPr>
      </w:pPr>
      <w:r>
        <w:rPr>
          <w:sz w:val="24"/>
        </w:rPr>
      </w:r>
    </w:p>
    <w:p>
      <w:pPr>
        <w:pStyle w:val="Normal"/>
        <w:spacing w:lineRule="auto" w:line="360"/>
        <w:rPr>
          <w:sz w:val="24"/>
        </w:rPr>
      </w:pPr>
      <w:r>
        <w:rPr>
          <w:sz w:val="24"/>
        </w:rPr>
        <w:t>16.10)</w:t>
      </w:r>
    </w:p>
    <w:p>
      <w:pPr>
        <w:pStyle w:val="Normal"/>
        <w:spacing w:lineRule="auto" w:line="360"/>
        <w:rPr>
          <w:sz w:val="24"/>
        </w:rPr>
      </w:pPr>
      <w:r>
        <w:rPr>
          <w:sz w:val="24"/>
        </w:rPr>
        <w:t>There can be two major sources for the agency costs of equity. One, shirking of the management due to the fact that management does not own all of the stocks of the firm. Two, more ‘on-the-job’ perquisites for the management. These two elements constitute the agency costs of management and will reduce the value of the firm accordingly.</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0"/>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rPr>
      <w:sz w:val="24"/>
      <w:lang w:val="en-CA" w:eastAsia="en-CA"/>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2000-12-04T16:08:00Z</dcterms:created>
  <dc:creator>Preferred Customer</dc:creator>
  <dc:description/>
  <dc:language>en-CA</dc:language>
  <cp:lastModifiedBy>Preferred Customer</cp:lastModifiedBy>
  <cp:lastPrinted>2000-09-09T11:21:00Z</cp:lastPrinted>
  <dcterms:modified xsi:type="dcterms:W3CDTF">2000-12-04T16:08:00Z</dcterms:modified>
  <cp:revision>2</cp:revision>
  <dc:subject/>
  <dc:title>E203</dc:title>
</cp:coreProperties>
</file>