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suppressAutoHyphens w:val="true"/>
        <w:jc w:val="both"/>
        <w:rPr>
          <w:rFonts w:ascii="Courier New" w:hAnsi="Courier New" w:cs="Courier New"/>
          <w:spacing w:val="-3"/>
        </w:rPr>
      </w:pPr>
      <w:r>
        <w:rPr>
          <w:rFonts w:cs="Courier New" w:ascii="Courier New" w:hAnsi="Courier New"/>
          <w:spacing w:val="-3"/>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b/>
          <w:spacing w:val="-2"/>
        </w:rPr>
        <w:t>Item 8.  FINANCIAL STATEMENTS AND SUPPLEMENTARY DATA</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tab/>
        <w:t xml:space="preserve">The information required hereunder is included in this report as set forth in the "Index to Financial Statements" on page F-1. </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b/>
          <w:spacing w:val="-2"/>
        </w:rPr>
        <w:t>Item 9.  DISAGREEMENTS ON ACCOUNTING AND FINANCIAL DISCLOSURE</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tab/>
        <w:t>None.</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r>
        <w:br w:type="page"/>
      </w:r>
    </w:p>
    <w:p>
      <w:pPr>
        <w:pStyle w:val="Normal"/>
        <w:tabs>
          <w:tab w:val="left" w:pos="-720" w:leader="none"/>
          <w:tab w:val="left" w:pos="720" w:leader="none"/>
        </w:tabs>
        <w:suppressAutoHyphens w:val="true"/>
        <w:jc w:val="center"/>
        <w:rPr>
          <w:rFonts w:ascii="Courier New" w:hAnsi="Courier New" w:cs="Courier New"/>
          <w:b/>
        </w:rPr>
      </w:pPr>
      <w:r>
        <w:rPr>
          <w:rFonts w:cs="Courier New" w:ascii="Courier New" w:hAnsi="Courier New"/>
          <w:b/>
        </w:rPr>
        <w:t>PART III</w:t>
      </w:r>
    </w:p>
    <w:p>
      <w:pPr>
        <w:pStyle w:val="Normal"/>
        <w:tabs>
          <w:tab w:val="left" w:pos="-720" w:leader="none"/>
          <w:tab w:val="left" w:pos="72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b/>
          <w:spacing w:val="-2"/>
        </w:rPr>
        <w:t>Item 10.  DIRECTORS AND EXECUTIVE OFFICERS OF THE REGISTRANT</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tab/>
        <w:t>The information required by Item 10 of Form 10-K relating to directors who are nominees for election as directors at Enron's Annual Meeting of Shareholders to be held on May 2, 2000 is set forth under the caption entitled "Election of Directors" in Enron's Proxy Statement, and is incorporated herein by reference.</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tab/>
        <w:t>The information required by Item 10 of Form 10-K with respect to executive officers is set forth in Part I of this Form 10-K under the heading "Current Executive Officers of the Registrant".</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pPr>
      <w:r>
        <w:rPr>
          <w:rFonts w:cs="Courier New" w:ascii="Courier New" w:hAnsi="Courier New"/>
          <w:spacing w:val="-2"/>
        </w:rPr>
        <w:tab/>
        <w:t xml:space="preserve">Section 16(a) of the Securities Exchange Act of 1934 requires Enron’s executive officers and directors, and persons who own more than 10% of a registered class of Enron’s equity securities, to file reports of ownership and changes in ownership with the SEC and the New York Stock Exchange.  Based solely on its review of the copies of such reports received by it, or written representations from certain reporting persons that no Forms 5 were required for those persons, Enron believes that during 1999, its executive officers, directors and greater than 10% shareholders complied with all applicable filing requirements, with the exception of </w:t>
      </w:r>
      <w:r>
        <w:rPr>
          <w:rFonts w:cs="Courier New" w:ascii="Courier New" w:hAnsi="Courier New"/>
          <w:b/>
          <w:spacing w:val="-2"/>
        </w:rPr>
        <w:t>[to come]</w:t>
      </w:r>
      <w:r>
        <w:rPr>
          <w:rFonts w:cs="Courier New" w:ascii="Courier New" w:hAnsi="Courier New"/>
          <w:spacing w:val="-2"/>
        </w:rPr>
        <w:t>.</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tab/>
        <w:t>There are no family relationships among the officers listed, and there are no arrangements or understandings pursuant to which any of them were elected as officers.  Officers are appointed or elected annually by the Board of Directors at its first meeting following the Annual Meeting of Shareholders, each to hold office until the corresponding meeting of the Board in the next year or until a successor shall have been elected, appointed or shall have qualified.</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b/>
          <w:spacing w:val="-2"/>
        </w:rPr>
        <w:t>Item 11.  EXECUTIVE COMPENSATION</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tab/>
        <w:t>The information regarding executive compensation is set forth in the Proxy Statement under the captions "Compensation of Directors and Executive Officers --Director Compensation; Executive Compensation; Stock Option Grants During 1999; Aggregated Stock Option/SAR Exercises During 1999 and Stock Option/SAR Values as of December 31, 1999; Long-Term Incentive Plan - Awards in 1999; Retirement and Supplemental Benefit Plans; Severance Plans; Employment Contracts; Certain Transactions; and Compensation Committee Interlocks and Insider Participation", and is incorporated herein by reference.</w:t>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720" w:leader="none"/>
        </w:tabs>
        <w:suppressAutoHyphens w:val="true"/>
        <w:jc w:val="both"/>
        <w:rPr>
          <w:rFonts w:ascii="Courier New" w:hAnsi="Courier New" w:cs="Courier New"/>
          <w:spacing w:val="-2"/>
        </w:rPr>
      </w:pPr>
      <w:r>
        <w:rPr>
          <w:rFonts w:cs="Courier New" w:ascii="Courier New" w:hAnsi="Courier New"/>
          <w:b/>
          <w:spacing w:val="-2"/>
        </w:rPr>
        <w:t>Item 12.  SECURITY OWNERSHIP OF CERTAIN BENEFICIAL OWNERS AND MANAGEMENT</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tab/>
        <w:t>(a) Security ownership of certain beneficial owners</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right" w:pos="9240" w:leader="none"/>
        </w:tabs>
        <w:suppressAutoHyphens w:val="true"/>
        <w:ind w:hanging="720" w:start="720" w:end="0"/>
        <w:jc w:val="both"/>
        <w:rPr>
          <w:rFonts w:ascii="Courier New" w:hAnsi="Courier New" w:cs="Courier New"/>
          <w:spacing w:val="-2"/>
        </w:rPr>
      </w:pPr>
      <w:r>
        <w:rPr>
          <w:rFonts w:cs="Courier New" w:ascii="Courier New" w:hAnsi="Courier New"/>
          <w:spacing w:val="-2"/>
        </w:rPr>
        <w:tab/>
        <w:tab/>
        <w:t>The information regarding security ownership of certain beneficial owners is set forth in the Proxy Statement under the caption "Election of Directors - Security Ownership of Certain Beneficial Owners", and is incorporated herein by reference.</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tab/>
        <w:t>(b) Security ownership of management</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right" w:pos="9240" w:leader="none"/>
        </w:tabs>
        <w:suppressAutoHyphens w:val="true"/>
        <w:ind w:hanging="720" w:start="720" w:end="0"/>
        <w:jc w:val="both"/>
        <w:rPr>
          <w:rFonts w:ascii="Courier New" w:hAnsi="Courier New" w:cs="Courier New"/>
          <w:spacing w:val="-2"/>
        </w:rPr>
      </w:pPr>
      <w:r>
        <w:rPr>
          <w:rFonts w:cs="Courier New" w:ascii="Courier New" w:hAnsi="Courier New"/>
          <w:spacing w:val="-2"/>
        </w:rPr>
        <w:tab/>
        <w:tab/>
        <w:t>The information regarding security ownership of management is set forth in the Proxy Statement under the caption "Election of Directors - Stock Ownership of Management and Board of Directors as of February 15, 1999", and is incorporated herein by reference.</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tab/>
        <w:t>(c)  Changes in control</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tab/>
        <w:tab/>
        <w:tab/>
        <w:t>None.</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b/>
          <w:spacing w:val="-2"/>
        </w:rPr>
        <w:t>Item 13.  CERTAIN RELATIONSHIPS AND RELATED TRANSACTIONS</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information regarding certain relationships and related transactions is set forth in the Proxy Statement under the caption “Certain Transactions" and "Compensation Committee Interlocks and Insider Participation", and is incorporated herein by reference.</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center"/>
        <w:rPr>
          <w:rFonts w:ascii="Courier New" w:hAnsi="Courier New" w:cs="Courier New"/>
          <w:b/>
          <w:spacing w:val="-2"/>
        </w:rPr>
      </w:pPr>
      <w:r>
        <w:rPr>
          <w:rFonts w:cs="Courier New" w:ascii="Courier New" w:hAnsi="Courier New"/>
          <w:b/>
          <w:spacing w:val="-2"/>
        </w:rPr>
      </w:r>
    </w:p>
    <w:p>
      <w:pPr>
        <w:pStyle w:val="Normal"/>
        <w:tabs>
          <w:tab w:val="left" w:pos="240" w:leader="none"/>
          <w:tab w:val="left" w:pos="720" w:leader="none"/>
          <w:tab w:val="left" w:pos="840" w:leader="none"/>
          <w:tab w:val="right" w:pos="9240" w:leader="none"/>
        </w:tabs>
        <w:suppressAutoHyphens w:val="true"/>
        <w:jc w:val="center"/>
        <w:rPr>
          <w:rFonts w:ascii="Courier New" w:hAnsi="Courier New" w:cs="Courier New"/>
          <w:b/>
          <w:spacing w:val="-2"/>
        </w:rPr>
      </w:pPr>
      <w:r>
        <w:rPr>
          <w:rFonts w:cs="Courier New" w:ascii="Courier New" w:hAnsi="Courier New"/>
          <w:b/>
          <w:spacing w:val="-2"/>
        </w:rPr>
      </w:r>
    </w:p>
    <w:p>
      <w:pPr>
        <w:pStyle w:val="Normal"/>
        <w:tabs>
          <w:tab w:val="left" w:pos="240" w:leader="none"/>
          <w:tab w:val="left" w:pos="720" w:leader="none"/>
          <w:tab w:val="left" w:pos="840" w:leader="none"/>
          <w:tab w:val="right" w:pos="9240" w:leader="none"/>
        </w:tabs>
        <w:suppressAutoHyphens w:val="true"/>
        <w:jc w:val="center"/>
        <w:rPr>
          <w:rFonts w:ascii="Courier New" w:hAnsi="Courier New" w:cs="Courier New"/>
          <w:b/>
          <w:spacing w:val="-2"/>
        </w:rPr>
      </w:pPr>
      <w:r>
        <w:rPr>
          <w:rFonts w:cs="Courier New" w:ascii="Courier New" w:hAnsi="Courier New"/>
          <w:b/>
          <w:spacing w:val="-2"/>
        </w:rPr>
        <w:t>PART IV</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b/>
          <w:spacing w:val="-2"/>
        </w:rPr>
        <w:t>Item 14.  EXHIBITS, FINANCIAL STATEMENT SCHEDULES, AND REPORTS ON FORM 8-K</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240" w:leader="none"/>
          <w:tab w:val="left" w:pos="720" w:leader="none"/>
          <w:tab w:val="left" w:pos="840" w:leader="none"/>
          <w:tab w:val="right" w:pos="9240" w:leader="none"/>
        </w:tabs>
        <w:suppressAutoHyphens w:val="true"/>
        <w:jc w:val="both"/>
        <w:rPr/>
      </w:pPr>
      <w:r>
        <w:rPr>
          <w:rFonts w:cs="Courier New" w:ascii="Courier New" w:hAnsi="Courier New"/>
          <w:spacing w:val="-2"/>
        </w:rPr>
        <w:t xml:space="preserve">(a)(1) and (2) </w:t>
      </w:r>
      <w:r>
        <w:rPr>
          <w:rFonts w:cs="Courier New" w:ascii="Courier New" w:hAnsi="Courier New"/>
          <w:b/>
          <w:spacing w:val="-2"/>
        </w:rPr>
        <w:t>Financial Statements and Financial Statement Schedules</w:t>
      </w:r>
      <w:r>
        <w:rPr>
          <w:rFonts w:cs="Courier New" w:ascii="Courier New" w:hAnsi="Courier New"/>
          <w:spacing w:val="-2"/>
        </w:rPr>
        <w:t>.  See "Index to Financial Statements" set forth on page F-1.</w:t>
      </w:r>
    </w:p>
    <w:p>
      <w:pPr>
        <w:pStyle w:val="Normal"/>
        <w:tabs>
          <w:tab w:val="left" w:pos="240" w:leader="none"/>
          <w:tab w:val="left" w:pos="720" w:leader="none"/>
          <w:tab w:val="left" w:pos="840" w:leader="none"/>
          <w:tab w:val="right" w:pos="9240" w:leader="none"/>
        </w:tabs>
        <w:suppressAutoHyphens w:val="true"/>
        <w:jc w:val="both"/>
        <w:rPr>
          <w:rFonts w:ascii="Courier New" w:hAnsi="Courier New" w:cs="Courier New"/>
          <w:spacing w:val="-2"/>
        </w:rPr>
      </w:pPr>
      <w:r>
        <w:rPr>
          <w:rFonts w:cs="Courier New" w:ascii="Courier New" w:hAnsi="Courier New"/>
          <w:spacing w:val="-2"/>
        </w:rPr>
      </w:r>
    </w:p>
    <w:p>
      <w:pPr>
        <w:sectPr>
          <w:footerReference w:type="default" r:id="rId2"/>
          <w:type w:val="nextPage"/>
          <w:pgSz w:w="12240" w:h="15840"/>
          <w:pgMar w:left="1440" w:right="1440" w:gutter="0" w:header="0" w:top="1440" w:footer="840" w:bottom="1440"/>
          <w:pgNumType w:start="62" w:fmt="decimal"/>
          <w:formProt w:val="false"/>
          <w:textDirection w:val="lrTb"/>
          <w:docGrid w:type="default" w:linePitch="360" w:charSpace="0"/>
        </w:sectPr>
      </w:pPr>
    </w:p>
    <w:p>
      <w:pPr>
        <w:pStyle w:val="Normal"/>
        <w:tabs>
          <w:tab w:val="left" w:pos="240" w:leader="none"/>
          <w:tab w:val="left" w:pos="720" w:leader="none"/>
          <w:tab w:val="left" w:pos="1680" w:leader="none"/>
          <w:tab w:val="right" w:pos="8160" w:leader="none"/>
          <w:tab w:val="left" w:pos="8760" w:leader="none"/>
          <w:tab w:val="right" w:pos="9480" w:leader="none"/>
        </w:tabs>
        <w:suppressAutoHyphens w:val="true"/>
        <w:jc w:val="both"/>
        <w:rPr/>
      </w:pPr>
      <w:r>
        <w:rPr>
          <w:rFonts w:cs="Courier New" w:ascii="Courier New" w:hAnsi="Courier New"/>
          <w:spacing w:val="-2"/>
        </w:rPr>
        <w:t>(a)(3)   </w:t>
      </w:r>
      <w:r>
        <w:rPr>
          <w:rFonts w:cs="Courier New" w:ascii="Courier New" w:hAnsi="Courier New"/>
          <w:b/>
          <w:spacing w:val="-2"/>
        </w:rPr>
        <w:t>Exhibits</w:t>
      </w:r>
      <w:r>
        <w:rPr>
          <w:rFonts w:cs="Courier New" w:ascii="Courier New" w:hAnsi="Courier New"/>
          <w:spacing w:val="-2"/>
        </w:rPr>
        <w:t>:</w:t>
      </w:r>
    </w:p>
    <w:p>
      <w:pPr>
        <w:pStyle w:val="Normal"/>
        <w:tabs>
          <w:tab w:val="left" w:pos="240" w:leader="none"/>
          <w:tab w:val="left" w:pos="720" w:leader="none"/>
          <w:tab w:val="left" w:pos="1680" w:leader="none"/>
          <w:tab w:val="right" w:pos="8160" w:leader="none"/>
          <w:tab w:val="right" w:pos="9480" w:leader="none"/>
        </w:tabs>
        <w:suppressAutoHyphens w:val="true"/>
        <w:ind w:start="-360" w:end="-36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*3.01  -</w:t>
        <w:tab/>
        <w:t>Amended and Restated Articles of Incorporation of Enron (Annex E to the Proxy Statement/Prospectus included in Enron’s Registration Statement on Form S-4 - File No. 333-13791).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*3.02  -</w:t>
        <w:tab/>
        <w:t>Articles of Merger of Enron Oregon Corp., an Oregon corporation, and Enron Corp., a Delaware corporation (Exhibit 3.02 to Post-Effective Amendment No. 1 to Enron’s Registration Statement on Form S-3 - File No. 33-60417).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*3.03  -</w:t>
        <w:tab/>
        <w:t>Articles of Merger of Enron Corp., an Oregon corporation, and Portland General Corporation, an Oregon corporation (Exhibit 3.03 to Post-Effective Amendment No. 1 to Enron’s Registration Statement on Form S-3 - File No. 33-60417).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*3.04  -</w:t>
        <w:tab/>
        <w:t>Bylaws of Enron (Exhibit 3.04 to Post-Effective Amendment No. 1 to Enron’s Registration Statement on Form S-3 - File No. 33-60417).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*3.05  -</w:t>
        <w:tab/>
        <w:t>Form of Series Designation for the Enron Convertible Preferred Stock (Annex F to the Proxy Statement/Prospectus included in Enron’s Registration Statement on Form S-4 - File No. 333-13791).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*3.06  -</w:t>
        <w:tab/>
        <w:t>Form of Series Designation for the Enron 9.142% Preferred Stock (Annex G to the Proxy Statement/Prospectus included in Enron’s Registration Statement on Form S-4 - File No. 333-13791).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*3.07  -</w:t>
        <w:tab/>
        <w:t>Statement of Resolutions Establishing Series A Junior Voting Convertible Preferred Stock (Exhibit 3.07 to Enron’s Registration Statement on Form S-3 - File No. 333-44133).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*3.08  -</w:t>
        <w:tab/>
        <w:t>Statement of Resolutions Establishing A Series of Preferred Stock of Enron Corp. – Mandatorily Convertible Single Reset Preferred Stock, Series A (Exhibit 4.01 to Enron’s Form 8-K filed on January 26,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*3.09  -</w:t>
        <w:tab/>
        <w:t>Statement of Resolutions Establishing A Series of Preferred Stock of Enron Corp. – Mandatorily Convertible Single Reset Preferred Stock, Series B (Exhibit 4.02 to Enron’s Form 8-K filed on January 26, 1999).</w:t>
      </w:r>
    </w:p>
    <w:p>
      <w:pPr>
        <w:pStyle w:val="Normal"/>
        <w:tabs>
          <w:tab w:val="left" w:pos="240" w:leader="none"/>
          <w:tab w:val="left" w:pos="720" w:leader="none"/>
          <w:tab w:val="left" w:pos="1680" w:leader="none"/>
          <w:tab w:val="right" w:pos="8160" w:leader="none"/>
          <w:tab w:val="right" w:pos="9480" w:leader="none"/>
        </w:tabs>
        <w:suppressAutoHyphens w:val="true"/>
        <w:ind w:start="-360" w:end="-36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*4.01  -</w:t>
        <w:tab/>
        <w:t>Indenture dated as of November 1, 1985, between Enron and Harris Trust and Savings Bank, as supplemented and amended by the First Supplemental Indenture dated as of December 1, 1995 (Form T-3 Application for Qualification of Indentures under the Trust Indenture Act of 1939, File No. 22-14390, filed October 24, 1985; Exhibit 4(b) to Form S-3 Registration Statement No. 33-64057 filed on November 8, 1995).  There have not been filed as exhibits to this Form 10-K other debt instruments defining the rights of holders of long-term debt of Enron, none of which relates to authorized indebtedness that exceeds 10% of the consolidated assets of Enron and its subsidiaries.  Enron hereby agrees to furnish a copy of any such instrument to the Commission upon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*4.02</w:t>
        <w:tab/>
        <w:t xml:space="preserve">  -</w:t>
        <w:tab/>
        <w:t>Supplemental Indenture, dated as of May 8, 1997, by and among Enron Corp., Enron Oregon Corp. and Harris Trust and Savings Bank, as Trustee (Exhibit 4.02 to Post-Effective Amendment No. 1 to Enron’s Registration Statement on Form S-3, File No. 33-60417).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*4.03  -</w:t>
        <w:tab/>
        <w:t>Form of Supplemental Indenture, dated as of September 1, 1997, between Enron Corp. and Harris Trust and Savings Bank, as Trustee (Exhibit 4.03 to Enron Registration Statement on Form S-3, File No. 333-35549).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*4.04  -</w:t>
        <w:tab/>
        <w:t>Form of Amended and Restated Agreement of Limited Partnership of Enron Capital Resources, L.P. (Exhibit 3.1 to Enron Form 8-K dated August 2,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*4.05  -</w:t>
        <w:tab/>
        <w:t>Form of Payment and Guarantee Agreement dated as of August 3, 1994, executed by Enron Corp. for the benefit of the holders of Enron Capital Resources, L.P. 9% Cumulative Preferred Securities, Series A (Exhibit 4.1 to Enron Form 8-K dated August 2,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*4.06  -</w:t>
        <w:tab/>
        <w:t>Form of Loan Agreement, dated as of August 3, 1994, between Enron Corp. and Enron Capital Resources, L.P.  (Exhibit 4.2 to Enron Form 8-K dated August 2,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*4.07  -</w:t>
        <w:tab/>
        <w:t>Articles of Association of Enron Capital LLC (Exhibit 9 to Enron Corp. Form 8-K dated November 12, 1993).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*4.08  -</w:t>
        <w:tab/>
        <w:t>Form of Payment and Guarantee Agreement of Enron Corp., dated as of November 15, 1993, in favor of the holders of Enron Capital LLC 8% Cumulative Guaranteed Monthly Income Preferred Shares (Exhibit 2 to Enron Form 8-K dated November 12, 1993).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*4.09  -</w:t>
        <w:tab/>
        <w:t>Form of Loan Agreement, dated as of November 15, 1993, between Enron Corp. and Enron Capital LLC (Exhibit 3 to Enron Form 8-K dated November 12, 1993).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rFonts w:cs="Courier New" w:ascii="Courier New" w:hAnsi="Courier New"/>
          <w:spacing w:val="-2"/>
        </w:rPr>
        <w:tab/>
      </w:r>
      <w:r>
        <w:rPr>
          <w:rFonts w:cs="Courier New" w:ascii="Courier New" w:hAnsi="Courier New"/>
          <w:spacing w:val="-2"/>
          <w:u w:val="single"/>
        </w:rPr>
        <w:t>Executive Compensation Plans and Arrangements Filed as Exhibits Pursuant to Item 14(c) of Form 10-K:  Exhibits 10.01 through 10.43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u w:val="single"/>
        </w:rPr>
      </w:pPr>
      <w:r>
        <w:rPr>
          <w:rFonts w:cs="Courier New" w:ascii="Courier New" w:hAnsi="Courier New"/>
          <w:spacing w:val="-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*10.01  -</w:t>
        <w:tab/>
        <w:t>Enron Executive Supplemental Survivor Benefits Plan, effective January 1, 1987 (Exhibit 10.01 to Enron Form 10-K for 1992).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*10.02  - </w:t>
        <w:tab/>
        <w:t>First Amendment to Enron Executive Supplemental Survivor Benefits Plan (Exhibit 10.02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*10.03  -</w:t>
        <w:tab/>
        <w:t>Enron Corp. 1988 Stock Plan (Exhibit 4.3 to Form S-8 Registration Statement No. 33-27893).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*10.04  -</w:t>
        <w:tab/>
        <w:t>Second Amendment to Enron Corp. 1988 Stock Plan (Exhibit 10.04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*10.05  -</w:t>
        <w:tab/>
        <w:t>Enron Corp. 1988 Deferral Plan (Exhibit 10.19 to Enron Form 10-K for 1987).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*10.06  -</w:t>
        <w:tab/>
        <w:t>First Amendment to Enron Corp. 1988 Deferral Plan (Exhibit 10.06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*10.07  -</w:t>
        <w:tab/>
        <w:t>Second Amendment to Enron Corp. 1988 Deferral Plan (Exhibit 10.07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*10.08  -</w:t>
        <w:tab/>
        <w:t>Third Amendment to Enron Corp. 1988 Deferral Plan (Exhibit 10.09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*10.09  -</w:t>
        <w:tab/>
        <w:t>Fourth Amendment to Enron Corp. 1988 Deferral Plan (Exhibit 10.10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*10.10  -</w:t>
        <w:tab/>
        <w:t>Fifth Amendment to Enron Corp. 1988 Deferral Plan (Exhibit 10.11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*10.11  -</w:t>
        <w:tab/>
        <w:t>Enron Corp. 1991 Stock Plan (Exhibit 10.08 to Enron Form 10-K for 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*10.12  -</w:t>
        <w:tab/>
        <w:t>Amended and Restated Enron Corp. 1991 Stock Plan (Exhibit A to Enron Proxy Statement filed pursuant to Section 14(a) on March 24,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*10.13  -</w:t>
        <w:tab/>
        <w:t>First Amendment to Enron Corp. Amended and Restated 1991 Stock Plan (Exhibit 10.13 to Enron Form 10-K for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*10.14  -</w:t>
        <w:tab/>
        <w:t>Second Amendment to Enron Corp. Amended and Restated 1991 Stock Plan (Exhibit 10.14 to Enron Form 10-K for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*10.15  -</w:t>
        <w:tab/>
        <w:t>Enron Corp. 1992 Deferral Plan (Exhibit 10.09 to Enron Form 10-K for 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*10.16  -</w:t>
        <w:tab/>
        <w:t>First Amendment to Enron Corp. 1992 Deferral Plan (Exhibit 10.10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*10.17  -</w:t>
        <w:tab/>
        <w:t>Second Amendment to Enron Corp. 1992 Deferral Plan (Exhibit 10.11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*10.18  -</w:t>
        <w:tab/>
        <w:t>Enron Corp. Directors' Deferred Income Plan (Exhibit 10.09 to Enron Form 10-K for 1992).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*10.19  -</w:t>
        <w:tab/>
        <w:t>Split Dollar Life Insurance Agreement between Enron and the KLL and LPL Family Partnership, Ltd., dated April 22, 1994 (Exhibit 10.17 to Enron Form 10-K for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*10.20  -</w:t>
        <w:tab/>
        <w:t>Employment Agreement between Enron Corp. and Kenneth L. Lay, executed December 18, 1996 (Exhibit 10.25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*10.21  -</w:t>
        <w:tab/>
        <w:t>Consulting Services Agreement between Enron and John A. Urquhart dated August 1, 1991 (Exhibit 10.23 to Enron Form 10-K for 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*10.22  -</w:t>
        <w:tab/>
        <w:t>First Amendment to Consulting Services Agreement between Enron and John A. Urquhart, dated August 27, 1992 (Exhibit 10.25 to Enron Form 10-K for 1992).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*10.23  -</w:t>
        <w:tab/>
        <w:t>Second and Third Amendments to Consulting Services Agreement between Enron and John A. Urquhart, dated November 24, 1992 and February 26, 1993, respectively (Exhibit 10.26 to Enron Form 10-K for 1992).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*10.24  -</w:t>
        <w:tab/>
        <w:t>Fourth Amendment to Consulting Services Agreement between Enron and John A. Urquhart dated as of May 9, 1994 (Exhibit 10.35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*10.25  -</w:t>
        <w:tab/>
        <w:t>Fifth Amendment to Consulting Services Agreement between Enron and John A. Urquhart (Exhibit 10.36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*10.26  -</w:t>
        <w:tab/>
        <w:t>Sixth Amendment to Consulting Services Agreement between Enron and John A. Urquhart (Exhibit 10.37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*10.27  -</w:t>
        <w:tab/>
        <w:t>Seventh Amendment to Consulting Services Agreement between Enron and John A. Urquhart, dated October 27, 1997 (Exhibit 10.27 to Enron Form 10-K for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10.28  -</w:t>
        <w:tab/>
        <w:t>Eighth Amendment to Consulting Services Agreement between Enron and John A. Urquhart, dated May 27,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10.29  -</w:t>
        <w:tab/>
        <w:t>Ninth Amendment to Consulting Services Agreement between Enron and John A. Urquhart, dated December 31,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*10.30  -</w:t>
        <w:tab/>
        <w:t>Enron Corp. Performance Unit Plan (Exhibit A to Enron Proxy Statement filed pursuant to Section 14(a) on March 25,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*10.31  -</w:t>
        <w:tab/>
        <w:t>Enron Corp. Annual Incentive Plan (Exhibit B to Enron Proxy Statement filed pursuant to Section 14(a) on March 25,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*10.32  -</w:t>
        <w:tab/>
        <w:t>Enron Corp. Performance Unit Plan (as amended and restated effective May 2, 1995) (Exhibit A to Enron Proxy Statement filed pursuant to Section 14(a) on March 27,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*10.33  -</w:t>
        <w:tab/>
        <w:t>First Amendment to Enron Corp. Performance Unit Plan (Exhibit 10.46 to Enron Form 10-K for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*10.34  -</w:t>
        <w:tab/>
        <w:t>Enron Corp. Restated 1994 Deferral Plan (Exhibit 4.3 to Enron Form S-8 Registration Statement, File No. 333-48193).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*10.35  -</w:t>
        <w:tab/>
        <w:t>Employment Agreement between Enron Capital Trade &amp; Resources Corp. and Jeffrey K. Skilling, dated January 1, 1996 (Exhibit 10.63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*10.36  -</w:t>
        <w:tab/>
        <w:t>First Amendment effective January 1, 1997, by and among Enron Corp., Enron Capital &amp; Trade Resources Corp., and Jeffrey K. Skilling, amending Employment Agreement between Enron Capital &amp; Trade Resources Corp. and Jeffrey K. Skilling dated January 1, 1996 (Exhibit 10.64 to Enron Form 10-K for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*10.37  -</w:t>
        <w:tab/>
        <w:t>Split Dollar Agreement between Enron and Jeffrey K. Skilling dated May 23, 1997 (Exhibit 10.41 to Enron Form 10-K for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*10.38  -</w:t>
        <w:tab/>
        <w:t>Second Amendment effective October 13, 1997, to Employment Agreement between Enron Corp. and Jeffrey K. Skilling (Exhibit 10.42 to Enron Form 10-K for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*10.39  -</w:t>
        <w:tab/>
        <w:t>Loan Agreement effective October 13, 1997, between Enron Corp. and Jeffrey K. Skilling (Exhibit 10.43 to Enron Form 10-K for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*10.40  -</w:t>
        <w:tab/>
        <w:t>Employment Agreement dated July 20, 1996 (effective July 1, 1997) between Enron and Ken L. Harrison (Exhibit 10.1 to Post-Effective Amendment No. 1 to Enron’s Registration Statement on Form S-4, File No. 333-13791).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10.41  -</w:t>
        <w:tab/>
        <w:t>Executive Employment Agreement between Enron Corp. and Rebecca P. Mark, effective May 4,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10.42  -</w:t>
        <w:tab/>
        <w:t>Executive Employment Agreement between Enron Corp. and Joseph W. Sutton, effective June 23,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10.43  -</w:t>
        <w:tab/>
        <w:t>Executive Employment Agreement between Enron Corp. and Kenneth D. Rice, effective June 1,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12     -</w:t>
        <w:tab/>
        <w:t>Statement re computation of ratios of earnings to fixed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21     -</w:t>
        <w:tab/>
        <w:t>Subsidiaries of registrant.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23.01  -</w:t>
        <w:tab/>
        <w:t>Consent of Arthur Andersen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24     -</w:t>
        <w:tab/>
        <w:t>Powers of Attorney for the directors signing this Form 10-K.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 xml:space="preserve"> 27     -</w:t>
        <w:tab/>
        <w:t>Financial Data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u w:val="single"/>
        </w:rPr>
      </w:pPr>
      <w:r>
        <w:rPr>
          <w:rFonts w:cs="Courier New" w:ascii="Courier New" w:hAnsi="Courier New"/>
          <w:spacing w:val="-2"/>
          <w:u w:val="single"/>
        </w:rPr>
        <w:t>              </w:t>
      </w:r>
      <w:r>
        <w:rPr>
          <w:rFonts w:eastAsia="Courier New" w:cs="Courier New" w:ascii="Courier New" w:hAnsi="Courier New"/>
          <w:spacing w:val="-2"/>
          <w:u w:val="single"/>
        </w:rPr>
        <w:t xml:space="preserve">   </w:t>
      </w:r>
      <w:r>
        <w:rPr>
          <w:rFonts w:cs="Courier New" w:ascii="Courier New" w:hAnsi="Courier New"/>
          <w:spacing w:val="-2"/>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u w:val="single"/>
        </w:rPr>
      </w:pPr>
      <w:r>
        <w:rPr>
          <w:rFonts w:cs="Courier New" w:ascii="Courier New" w:hAnsi="Courier New"/>
          <w:spacing w:val="-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tab/>
        <w:t>*</w:t>
        <w:tab/>
        <w:t>Asterisk indicates exhibits incorporated by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b/>
          <w:spacing w:val="-2"/>
        </w:rPr>
      </w:pPr>
      <w:r>
        <w:rPr>
          <w:rFonts w:cs="Courier New" w:ascii="Courier New" w:hAnsi="Courier New"/>
          <w:b/>
          <w:spacing w:val="-2"/>
        </w:rPr>
        <w:t>(b)</w:t>
        <w:tab/>
        <w:t>Reports on Form 8-K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b/>
          <w:spacing w:val="-2"/>
        </w:rPr>
      </w:pPr>
      <w:r>
        <w:rPr>
          <w:rFonts w:cs="Courier New" w:ascii="Courier New" w:hAnsi="Courier New"/>
          <w:b/>
          <w:spacing w:val="-2"/>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ourier New" w:hAnsi="Courier New" w:cs="Courier New"/>
          <w:spacing w:val="-2"/>
        </w:rPr>
      </w:pPr>
      <w:r>
        <w:rPr>
          <w:rFonts w:cs="Courier New" w:ascii="Courier New" w:hAnsi="Courier New"/>
          <w:spacing w:val="-2"/>
        </w:rPr>
        <w:tab/>
        <w:t>Current Report on Form 8-K filed March 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2160" w:start="2160" w:end="0"/>
        <w:jc w:val="both"/>
        <w:rPr>
          <w:rFonts w:ascii="Courier New" w:hAnsi="Courier New" w:cs="Courier New"/>
          <w:spacing w:val="-2"/>
        </w:rPr>
      </w:pPr>
      <w:r>
        <w:rPr>
          <w:rFonts w:cs="Courier New" w:ascii="Courier New" w:hAnsi="Courier New"/>
          <w:spacing w:val="-2"/>
        </w:rPr>
      </w:r>
    </w:p>
    <w:sectPr>
      <w:type w:val="continuous"/>
      <w:pgSz w:w="12240" w:h="15840"/>
      <w:pgMar w:left="1440" w:right="1440" w:gutter="0" w:header="0" w:top="1440" w:footer="84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 xml:space="preserve">  </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2000-02-28T16:32:00Z</dcterms:created>
  <dc:creator>Enron</dc:creator>
  <dc:description/>
  <dc:language>en-CA</dc:language>
  <cp:lastModifiedBy>smorgan</cp:lastModifiedBy>
  <cp:lastPrinted>2000-02-28T13:06:00Z</cp:lastPrinted>
  <dcterms:modified xsi:type="dcterms:W3CDTF">2000-02-28T16:48:00Z</dcterms:modified>
  <cp:revision>5</cp:revision>
  <dc:subject/>
  <dc:title>Item 8</dc:title>
</cp:coreProperties>
</file>