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suppressAutoHyphens w:val="true"/>
        <w:jc w:val="center"/>
        <w:rPr>
          <w:rFonts w:ascii="Courier New" w:hAnsi="Courier New" w:cs="Courier New"/>
          <w:b/>
        </w:rPr>
      </w:pPr>
      <w:r>
        <w:rPr>
          <w:rFonts w:cs="Courier New" w:ascii="Courier New" w:hAnsi="Courier New"/>
          <w:b/>
        </w:rPr>
      </w:r>
    </w:p>
    <w:p>
      <w:pPr>
        <w:pStyle w:val="Normal"/>
        <w:tabs>
          <w:tab w:val="clear" w:pos="720"/>
          <w:tab w:val="left" w:pos="-720" w:leader="none"/>
        </w:tabs>
        <w:suppressAutoHyphens w:val="true"/>
        <w:jc w:val="center"/>
        <w:rPr>
          <w:rFonts w:ascii="Courier New" w:hAnsi="Courier New" w:cs="Courier New"/>
          <w:b/>
        </w:rPr>
      </w:pPr>
      <w:r>
        <w:rPr>
          <w:rFonts w:cs="Courier New" w:ascii="Courier New" w:hAnsi="Courier New"/>
          <w:b/>
        </w:rPr>
      </w:r>
    </w:p>
    <w:p>
      <w:pPr>
        <w:pStyle w:val="Normal"/>
        <w:tabs>
          <w:tab w:val="clear" w:pos="720"/>
          <w:tab w:val="left" w:pos="-720" w:leader="none"/>
        </w:tabs>
        <w:suppressAutoHyphens w:val="true"/>
        <w:jc w:val="center"/>
        <w:rPr>
          <w:rFonts w:ascii="Courier New" w:hAnsi="Courier New" w:cs="Courier New"/>
          <w:b/>
        </w:rPr>
      </w:pPr>
      <w:r>
        <w:rPr>
          <w:rFonts w:cs="Courier New" w:ascii="Courier New" w:hAnsi="Courier New"/>
          <w:b/>
        </w:rPr>
        <w:t>CURRENT EXECUTIVE OFFICERS OF THE REGISTRANT</w:t>
      </w:r>
    </w:p>
    <w:p>
      <w:pPr>
        <w:pStyle w:val="Normal"/>
        <w:tabs>
          <w:tab w:val="clear" w:pos="720"/>
          <w:tab w:val="left" w:pos="3168" w:leader="none"/>
        </w:tabs>
        <w:suppressAutoHyphens w:val="true"/>
        <w:jc w:val="both"/>
        <w:rPr>
          <w:rFonts w:ascii="Courier New" w:hAnsi="Courier New" w:cs="Courier New"/>
          <w:b/>
          <w:spacing w:val="-2"/>
        </w:rPr>
      </w:pPr>
      <w:r>
        <w:rPr>
          <w:rFonts w:cs="Courier New" w:ascii="Courier New" w:hAnsi="Courier New"/>
          <w:b/>
          <w:spacing w:val="-2"/>
        </w:rPr>
      </w:r>
    </w:p>
    <w:p>
      <w:pPr>
        <w:pStyle w:val="Normal"/>
        <w:tabs>
          <w:tab w:val="clear" w:pos="720"/>
          <w:tab w:val="left" w:pos="3168" w:leader="none"/>
        </w:tabs>
        <w:suppressAutoHyphens w:val="true"/>
        <w:jc w:val="both"/>
        <w:rPr>
          <w:rFonts w:ascii="Courier New" w:hAnsi="Courier New" w:cs="Courier New"/>
          <w:b/>
          <w:spacing w:val="-2"/>
        </w:rPr>
      </w:pPr>
      <w:r>
        <w:rPr>
          <w:rFonts w:cs="Courier New" w:ascii="Courier New" w:hAnsi="Courier New"/>
          <w:b/>
          <w:spacing w:val="-2"/>
        </w:rPr>
      </w:r>
    </w:p>
    <w:p>
      <w:pPr>
        <w:pStyle w:val="Normal"/>
        <w:tabs>
          <w:tab w:val="clear" w:pos="720"/>
          <w:tab w:val="left" w:pos="3168" w:leader="none"/>
        </w:tabs>
        <w:suppressAutoHyphens w:val="true"/>
        <w:jc w:val="both"/>
        <w:rPr/>
      </w:pPr>
      <w:r>
        <w:rPr>
          <w:rFonts w:eastAsia="Courier New" w:cs="Courier New" w:ascii="Courier New" w:hAnsi="Courier New"/>
          <w:b/>
          <w:spacing w:val="-2"/>
        </w:rPr>
        <w:t xml:space="preserve">    </w:t>
      </w:r>
      <w:r>
        <w:rPr>
          <w:rFonts w:cs="Courier New" w:ascii="Courier New" w:hAnsi="Courier New"/>
          <w:b/>
          <w:spacing w:val="-2"/>
          <w:u w:val="single"/>
        </w:rPr>
        <w:t>Name and Age</w:t>
      </w:r>
      <w:r>
        <w:rPr>
          <w:rFonts w:cs="Courier New" w:ascii="Courier New" w:hAnsi="Courier New"/>
          <w:b/>
          <w:spacing w:val="-2"/>
        </w:rPr>
        <w:tab/>
      </w:r>
      <w:r>
        <w:rPr>
          <w:rFonts w:cs="Courier New" w:ascii="Courier New" w:hAnsi="Courier New"/>
          <w:b/>
          <w:spacing w:val="-2"/>
          <w:u w:val="single"/>
        </w:rPr>
        <w:t>Present Principal Position and Other Material</w:t>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b/>
          <w:spacing w:val="-2"/>
        </w:rPr>
        <w:tab/>
      </w:r>
      <w:r>
        <w:rPr>
          <w:rFonts w:cs="Courier New" w:ascii="Courier New" w:hAnsi="Courier New"/>
          <w:b/>
          <w:spacing w:val="-2"/>
          <w:u w:val="single"/>
        </w:rPr>
        <w:t>    Positions Held During Last Five Years    </w:t>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t>Kenneth L. Lay (57)</w:t>
        <w:tab/>
        <w:t xml:space="preserve">Chairman of the Board and Chief Executive Officer, Enron Corp., since February 1986.  </w:t>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t>Jeffrey K. Skilling (46)</w:t>
        <w:tab/>
        <w:t>President and Chief Operating Officer, Enron Corp., since January 1997.  Chief Executive Officer and Managing Director of Enron Capital &amp; Trade Resources Corp. (“ECT”) from June 1995 to December 1996.  From August 1990 to June 1995, Mr. Skilling served ECT in a variety of executive managerial positions.</w:t>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t>Joseph W. Sutton (52)</w:t>
        <w:tab/>
        <w:t>Vice Chairman, Enron Corp., since ________ 1999.  Chief Executive Officer, Enron International Inc., from May 1998 until ________ 1999. President, Enron International Inc., since January 1996. President and Chief Operating Officer, Enron Development Corp., from May 1995 to January 1996.  Vice President, Enron Development Corp., from 1992 to 1995.</w:t>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t>J. Clifford Baxter (41)</w:t>
        <w:tab/>
        <w:t>Chairman and Chief Executive Officer, Enron North America Corp., since ________ 1999.  Senior Vice President, Corporate Development, Enron Corp., from January 1997 until ______ 1999.  Vice Chairman, ECT, since February 1999.  Managing Director, ECT, 1996; Vice President, Corporate Development, ECT, 1995-1996; Managing Director, Koch Equities, 1995; Director, Corporate Development, ECT, 1992-1994.</w:t>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t>Mark A. Frevert (45)</w:t>
        <w:tab/>
        <w:t>President and Chief Executive Officer of ECT Europe and Enron Europe Ltd. since March 1997.  From 1993 to March 1997, Mr. Frevert served ECT in a variety of executive managerial positions.</w:t>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jc w:val="both"/>
        <w:rPr/>
      </w:pPr>
      <w:r>
        <w:rPr>
          <w:rFonts w:cs="Courier New" w:ascii="Courier New" w:hAnsi="Courier New"/>
          <w:spacing w:val="-2"/>
        </w:rPr>
        <w:t>Joseph M. Hirko (  )</w:t>
        <w:tab/>
      </w:r>
      <w:r>
        <w:rPr>
          <w:rFonts w:cs="Courier New" w:ascii="Courier New" w:hAnsi="Courier New"/>
          <w:b/>
          <w:spacing w:val="-2"/>
        </w:rPr>
        <w:t>[to come]</w:t>
      </w:r>
    </w:p>
    <w:p>
      <w:pPr>
        <w:pStyle w:val="Normal"/>
        <w:tabs>
          <w:tab w:val="clear" w:pos="720"/>
          <w:tab w:val="left" w:pos="3168" w:leader="none"/>
        </w:tabs>
        <w:suppressAutoHyphens w:val="true"/>
        <w:jc w:val="both"/>
        <w:rPr>
          <w:rFonts w:ascii="Courier New" w:hAnsi="Courier New" w:cs="Courier New"/>
          <w:b/>
          <w:spacing w:val="-2"/>
        </w:rPr>
      </w:pPr>
      <w:r>
        <w:rPr>
          <w:rFonts w:cs="Courier New" w:ascii="Courier New" w:hAnsi="Courier New"/>
          <w:b/>
          <w:spacing w:val="-2"/>
        </w:rPr>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t>Stanley C. Horton (50)</w:t>
        <w:tab/>
        <w:t>Chairman and Chief Executive Officer, Enron Gas Pipeline Group, since January 1997.  Co-Chairman and Chief Executive Officer of Enron Operations Corp. from February 1996 to January 1997. President and Chief Operating Officer of Enron Operations Corp. from June 1993 to February 1996.  President of Northern Natural Gas Company from June 1991 to June 1993.  President of Florida Gas Transmission Company from 1988 to May 1991.</w:t>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t>Lou L. Pai (52)</w:t>
        <w:tab/>
        <w:t>Chairman of the Board and Chief Executive Officer of Enron Energy Services since March 1997.  President and Chief Operating Officer of ECT from August 1995 to March 1997.  From March 1993 to August 1995, Mr. Pai served ECT in a variety of executive managerial positions.</w:t>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t>Kenneth D. Rice (41)</w:t>
        <w:tab/>
        <w:t>Co-Chairman and Chief Executive Officer, Enron Broadband Services Corp., since _________ 1999.  Chairman and Chief Executive Officer of ECT – North America from March 1997 until ______ 1999.  From 1993 to March 1997, Mr. Rice served ECT in a variety of executive managerial positions.</w:t>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r>
      <w:r>
        <w:br w:type="page"/>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68" w:start="3168" w:end="0"/>
        <w:jc w:val="both"/>
        <w:rPr/>
      </w:pPr>
      <w:r>
        <w:rPr>
          <w:rFonts w:cs="Courier New" w:ascii="Courier New" w:hAnsi="Courier New"/>
          <w:spacing w:val="-2"/>
        </w:rPr>
        <w:t>Richard B. Buy (  )</w:t>
        <w:tab/>
        <w:t xml:space="preserve">Executive Vice President and Chief Risk Officer, Enron Corp., since ________.  </w:t>
      </w:r>
      <w:r>
        <w:rPr>
          <w:rFonts w:cs="Courier New" w:ascii="Courier New" w:hAnsi="Courier New"/>
          <w:b/>
          <w:spacing w:val="-2"/>
        </w:rPr>
        <w:t>[to come]</w:t>
      </w:r>
    </w:p>
    <w:p>
      <w:pPr>
        <w:pStyle w:val="Normal"/>
        <w:tabs>
          <w:tab w:val="clear" w:pos="720"/>
          <w:tab w:val="left" w:pos="3168" w:leader="none"/>
        </w:tabs>
        <w:suppressAutoHyphens w:val="true"/>
        <w:ind w:hanging="3168" w:start="3168" w:end="0"/>
        <w:jc w:val="both"/>
        <w:rPr>
          <w:rFonts w:ascii="Courier New" w:hAnsi="Courier New" w:cs="Courier New"/>
          <w:b/>
          <w:spacing w:val="-2"/>
        </w:rPr>
      </w:pPr>
      <w:r>
        <w:rPr>
          <w:rFonts w:cs="Courier New" w:ascii="Courier New" w:hAnsi="Courier New"/>
          <w:b/>
          <w:spacing w:val="-2"/>
        </w:rPr>
      </w:r>
    </w:p>
    <w:p>
      <w:pPr>
        <w:pStyle w:val="Normal"/>
        <w:tabs>
          <w:tab w:val="clear" w:pos="720"/>
          <w:tab w:val="left" w:pos="3168" w:leader="none"/>
        </w:tabs>
        <w:suppressAutoHyphens w:val="true"/>
        <w:ind w:hanging="3168" w:start="3168" w:end="0"/>
        <w:jc w:val="both"/>
        <w:rPr/>
      </w:pPr>
      <w:r>
        <w:rPr>
          <w:rFonts w:cs="Courier New" w:ascii="Courier New" w:hAnsi="Courier New"/>
          <w:spacing w:val="-2"/>
        </w:rPr>
        <w:t>Richard A. Causey (40)</w:t>
        <w:tab/>
        <w:t xml:space="preserve">Executive Vice President and Chief Accounting Officer, Enron Corp., since _________ 1999.  Senior Vice President and Chief Accounting and Information Officer, Enron Corp., from January 1997 to _________ 1999. </w:t>
      </w:r>
      <w:r>
        <w:rPr>
          <w:rFonts w:cs="Courier New" w:ascii="Courier New" w:hAnsi="Courier New"/>
          <w:b/>
          <w:spacing w:val="-2"/>
        </w:rPr>
        <w:t xml:space="preserve"> </w:t>
      </w:r>
      <w:r>
        <w:rPr>
          <w:rFonts w:cs="Courier New" w:ascii="Courier New" w:hAnsi="Courier New"/>
          <w:spacing w:val="-2"/>
        </w:rPr>
        <w:t>Managing Director, ECT, from June 1996 to January 1997; Vice President, ECT, from January 1992 to June 1996.</w:t>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t>James V. Derrick, Jr.(55)</w:t>
        <w:tab/>
        <w:t>Executive Vice President and General Counsel, Enron Corp., since _______ 1999.  Senior Vice President and General Counsel, Enron Corp., from June 1991 to ______ 1999.  Partner, Vinson &amp; Elkins from January 1977 until June 1991.</w:t>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t>Andrew S. Fastow (38)</w:t>
        <w:tab/>
        <w:t>Executive Vice President and Chief Financial Officer, Enron Corp., since _________ 1999.  Senior Vice President and Chief Financial Officer from March 1998 to _______ 1999.  Senior Vice President, Finance, Enron Corp., from January 1997 to March 1998.  Managing Director, Retail and Treasury, ECT, from May 1995 to January 1997.  Vice President, ECT, from January 1993 to May 1995.  Account Director, ECT, from 1990 to 1993.</w:t>
      </w:r>
    </w:p>
    <w:p>
      <w:pPr>
        <w:pStyle w:val="Normal"/>
        <w:tabs>
          <w:tab w:val="clear" w:pos="720"/>
          <w:tab w:val="left" w:pos="3168" w:leader="none"/>
        </w:tabs>
        <w:suppressAutoHyphens w:val="true"/>
        <w:ind w:hanging="3168" w:start="3168" w:end="0"/>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50" w:start="3150" w:end="0"/>
        <w:jc w:val="both"/>
        <w:rPr>
          <w:rFonts w:ascii="Courier New" w:hAnsi="Courier New" w:cs="Courier New"/>
          <w:spacing w:val="-2"/>
        </w:rPr>
      </w:pPr>
      <w:r>
        <w:rPr>
          <w:rFonts w:cs="Courier New" w:ascii="Courier New" w:hAnsi="Courier New"/>
          <w:spacing w:val="-2"/>
        </w:rPr>
        <w:t>Steven J. Kean (38)</w:t>
        <w:tab/>
        <w:t xml:space="preserve">Executive Vice President and Chief of Staff, Enron Corp. since July 1999. </w:t>
      </w:r>
      <w:r>
        <w:rPr>
          <w:rFonts w:cs="Courier New" w:ascii="Courier New" w:hAnsi="Courier New"/>
        </w:rPr>
        <w:t>Senior Vice President, Government Affairs from 1997 to 1999.  Previously held variety of management positions in Enron Corp. subsidiaries.</w:t>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BodyText2"/>
        <w:ind w:hanging="3150" w:start="3150" w:end="0"/>
        <w:rPr/>
      </w:pPr>
      <w:r>
        <w:rPr/>
        <w:t>Mark E. Koenig (  )</w:t>
        <w:tab/>
        <w:t xml:space="preserve">Executive Vice President, Investor Relations, Enron Corp., since _____ 1999. </w:t>
      </w:r>
      <w:r>
        <w:rPr>
          <w:b/>
        </w:rPr>
        <w:t>[to come]</w:t>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50" w:start="3150" w:end="0"/>
        <w:jc w:val="both"/>
        <w:rPr>
          <w:rFonts w:ascii="Courier New" w:hAnsi="Courier New" w:cs="Courier New"/>
          <w:spacing w:val="-2"/>
        </w:rPr>
      </w:pPr>
      <w:r>
        <w:rPr>
          <w:rFonts w:cs="Courier New" w:ascii="Courier New" w:hAnsi="Courier New"/>
          <w:spacing w:val="-2"/>
        </w:rPr>
        <w:t>Michael S. McConnell (  )</w:t>
        <w:tab/>
      </w:r>
      <w:r>
        <w:rPr>
          <w:rFonts w:cs="Courier New" w:ascii="Courier New" w:hAnsi="Courier New"/>
        </w:rPr>
        <w:t xml:space="preserve">Executive Vice President, Technology, Enron Corp., since _______ 1999.  </w:t>
      </w:r>
      <w:r>
        <w:rPr>
          <w:rFonts w:cs="Courier New" w:ascii="Courier New" w:hAnsi="Courier New"/>
          <w:b/>
          <w:spacing w:val="-2"/>
        </w:rPr>
        <w:t>[to come]</w:t>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BodyText2"/>
        <w:ind w:hanging="3150" w:start="3150" w:end="0"/>
        <w:rPr/>
      </w:pPr>
      <w:r>
        <w:rPr/>
        <w:t>Jeffrey McMahon (  )</w:t>
        <w:tab/>
        <w:t xml:space="preserve">Executive Vice President, Finance and Treasurer, Enron Corp., since _______ 1999.  Chief Financial Officer, Enron Europe, from ________ to _________.  </w:t>
      </w:r>
      <w:r>
        <w:rPr>
          <w:b/>
        </w:rPr>
        <w:t>[to come]</w:t>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50" w:start="3150" w:end="0"/>
        <w:jc w:val="both"/>
        <w:rPr>
          <w:rFonts w:ascii="Courier New" w:hAnsi="Courier New" w:cs="Courier New"/>
          <w:spacing w:val="-2"/>
        </w:rPr>
      </w:pPr>
      <w:r>
        <w:rPr>
          <w:rFonts w:cs="Courier New" w:ascii="Courier New" w:hAnsi="Courier New"/>
          <w:spacing w:val="-2"/>
        </w:rPr>
        <w:t>J. Mark Metts (41)</w:t>
        <w:tab/>
      </w:r>
      <w:r>
        <w:rPr>
          <w:rFonts w:cs="Courier New" w:ascii="Courier New" w:hAnsi="Courier New"/>
        </w:rPr>
        <w:t>Executive Vice President, Corporate Development, Enron Corp., since August 1999.  Partner, Vinson &amp; Elkins L.L.P. from January 1991 until August 1999.</w:t>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ind w:hanging="3150" w:start="3150" w:end="0"/>
        <w:jc w:val="both"/>
        <w:rPr>
          <w:rFonts w:ascii="Courier New" w:hAnsi="Courier New" w:cs="Courier New"/>
          <w:spacing w:val="-2"/>
        </w:rPr>
      </w:pPr>
      <w:r>
        <w:rPr>
          <w:rFonts w:cs="Courier New" w:ascii="Courier New" w:hAnsi="Courier New"/>
          <w:spacing w:val="-2"/>
        </w:rPr>
        <w:t>Cindy K. Olson (  )</w:t>
        <w:tab/>
        <w:t xml:space="preserve">Executive Vice President, Human Resources and Community Relations, since ___________ 1999.  </w:t>
      </w:r>
      <w:r>
        <w:rPr>
          <w:rFonts w:cs="Courier New" w:ascii="Courier New" w:hAnsi="Courier New"/>
          <w:b/>
          <w:spacing w:val="-2"/>
        </w:rPr>
        <w:t>[to come]</w:t>
      </w:r>
      <w:r>
        <w:br w:type="page"/>
      </w:r>
    </w:p>
    <w:p>
      <w:pPr>
        <w:pStyle w:val="Normal"/>
        <w:keepNext w:val="true"/>
        <w:keepLines/>
        <w:tabs>
          <w:tab w:val="clear" w:pos="720"/>
          <w:tab w:val="left" w:pos="3168" w:leader="none"/>
        </w:tabs>
        <w:suppressAutoHyphens w:val="true"/>
        <w:jc w:val="both"/>
        <w:rPr>
          <w:rFonts w:ascii="Courier New" w:hAnsi="Courier New" w:cs="Courier New"/>
          <w:b/>
          <w:spacing w:val="-2"/>
        </w:rPr>
      </w:pPr>
      <w:r>
        <w:rPr>
          <w:rFonts w:cs="Courier New" w:ascii="Courier New" w:hAnsi="Courier New"/>
          <w:b/>
          <w:spacing w:val="-2"/>
        </w:rPr>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b/>
          <w:spacing w:val="-2"/>
        </w:rPr>
        <w:t>Item 2.  PROPERTIES</w:t>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3168" w:leader="none"/>
        </w:tabs>
        <w:suppressAutoHyphens w:val="true"/>
        <w:jc w:val="both"/>
        <w:rPr>
          <w:rFonts w:ascii="Courier New" w:hAnsi="Courier New" w:cs="Courier New"/>
          <w:spacing w:val="-2"/>
        </w:rPr>
      </w:pPr>
      <w:r>
        <w:rPr>
          <w:rFonts w:cs="Courier New" w:ascii="Courier New" w:hAnsi="Courier New"/>
          <w:b/>
          <w:spacing w:val="-2"/>
        </w:rPr>
        <w:t>Natural Gas Transmission</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Enron's domestic natural gas facilities include approximately _______ miles of transmission lines, ______ underground gas storage fields and _____ liquefied natural gas storage facilities.  Enron also owns interests in pipeline and related facilities associated with its participation and investments in jointly-owned pipeline systems.</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Substantially all the transmission lines of Enron are constructed on rights-of-way granted by the apparent record owners of such property.  In many instances, lands over which rights-of-way have been obtained are subject to prior liens which have not been subordinated to the right-of-way grants.  In some cases, not all of the apparent record owners have joined in the right-of-way grants, but in substantially all such cases, signatures of the owners of majority interests have been obtained.  Permits have been obtained from public authorities to cross over or under, or to lay facilities in or along, water courses, county roads, municipal streets and state highways, and in some instances, such permits are revocable at the election of the grantor, or, the pipeline may be required to move its facilities at its own expense.  Permits have also been obtained from railroad companies to cross over or under lands or rights-of-way, many of which are also revocable at the grantor's election.  Some such permits require annual or other periodic payments.  In a few minor cases, property for pipeline purposes was purchased in fee.</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In most cases, Enron's transmission subsidiaries have the right of eminent domain to acquire rights-of-way and lands necessary for their pipelines and appurtenant facilities.</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Enron's regulator and compressor stations, clean fuel facilities and offices are located on tracts of land owned by it in fee or leased from others.</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Enron is of the opinion that it has generally satisfactory title to its rights-of-way and lands used in the conduct of its businesses, subject to liens for current taxes, liens incident to operating agreements and minor encumbrances, easements and restrictions which do not materially detract from the value of such property or the interest of Enron therein or the use of such properties in such businesses.</w:t>
      </w:r>
      <w:r>
        <w:br w:type="page"/>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b/>
          <w:spacing w:val="-2"/>
        </w:rPr>
      </w:pPr>
      <w:r>
        <w:rPr>
          <w:rFonts w:cs="Courier New" w:ascii="Courier New" w:hAnsi="Courier New"/>
          <w:b/>
          <w:spacing w:val="-2"/>
        </w:rPr>
        <w:t>International Power Plants and Pipelines</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b/>
          <w:spacing w:val="-2"/>
        </w:rPr>
      </w:pPr>
      <w:r>
        <w:rPr>
          <w:rFonts w:cs="Courier New" w:ascii="Courier New" w:hAnsi="Courier New"/>
          <w:b/>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Enron’s principal international operating power plants and pipelines and appurtenant facilities are (i) situated on land owned by Enron (or joint ventures in which Enron has an ownership interest) in fee or land under the control of Enron (or such joint ventures) pursuant to valid existing leases, licenses, easements or other agreements, or (ii) in the case of certain power plants, barge-mounted on vessels owned by Enron (or such joint ventures).  Power plants and pipelines in which Enron owns an interest are set forth in the following table:</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tbl>
      <w:tblPr>
        <w:tblW w:w="10655" w:type="dxa"/>
        <w:jc w:val="start"/>
        <w:tblInd w:w="0" w:type="dxa"/>
        <w:tblLayout w:type="fixed"/>
        <w:tblCellMar>
          <w:top w:w="0" w:type="dxa"/>
          <w:start w:w="108" w:type="dxa"/>
          <w:bottom w:w="0" w:type="dxa"/>
          <w:end w:w="108" w:type="dxa"/>
        </w:tblCellMar>
      </w:tblPr>
      <w:tblGrid>
        <w:gridCol w:w="2131"/>
        <w:gridCol w:w="2387"/>
        <w:gridCol w:w="1875"/>
        <w:gridCol w:w="2131"/>
        <w:gridCol w:w="2131"/>
      </w:tblGrid>
      <w:tr>
        <w:trPr/>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b/>
                <w:spacing w:val="-2"/>
              </w:rPr>
              <w:t>Facility</w:t>
            </w:r>
          </w:p>
        </w:tc>
        <w:tc>
          <w:tcPr>
            <w:tcW w:w="2387"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b/>
                <w:spacing w:val="-2"/>
              </w:rPr>
            </w:pPr>
            <w:r>
              <w:rPr>
                <w:rFonts w:cs="Courier New" w:ascii="Courier New" w:hAnsi="Courier New"/>
                <w:b/>
                <w:spacing w:val="-2"/>
              </w:rPr>
              <w:t>Location</w:t>
            </w:r>
          </w:p>
        </w:tc>
        <w:tc>
          <w:tcPr>
            <w:tcW w:w="1875"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b/>
                <w:spacing w:val="-2"/>
              </w:rPr>
            </w:pPr>
            <w:r>
              <w:rPr>
                <w:rFonts w:cs="Courier New" w:ascii="Courier New" w:hAnsi="Courier New"/>
                <w:b/>
                <w:spacing w:val="-2"/>
              </w:rPr>
              <w:t>Fuel</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b/>
                <w:spacing w:val="-2"/>
              </w:rPr>
            </w:pPr>
            <w:r>
              <w:rPr>
                <w:rFonts w:cs="Courier New" w:ascii="Courier New" w:hAnsi="Courier New"/>
                <w:b/>
                <w:spacing w:val="-2"/>
              </w:rPr>
              <w:t>Size/Capacity</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b/>
                <w:spacing w:val="-2"/>
              </w:rPr>
            </w:pPr>
            <w:r>
              <w:rPr>
                <w:rFonts w:cs="Courier New" w:ascii="Courier New" w:hAnsi="Courier New"/>
                <w:b/>
                <w:spacing w:val="-2"/>
              </w:rPr>
              <w:t>Enron Interest</w:t>
            </w:r>
          </w:p>
        </w:tc>
      </w:tr>
      <w:tr>
        <w:trPr/>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both"/>
              <w:rPr>
                <w:rFonts w:ascii="Courier New" w:hAnsi="Courier New" w:cs="Courier New"/>
                <w:b/>
                <w:spacing w:val="-2"/>
              </w:rPr>
            </w:pPr>
            <w:r>
              <w:rPr>
                <w:rFonts w:cs="Courier New" w:ascii="Courier New" w:hAnsi="Courier New"/>
                <w:b/>
                <w:spacing w:val="-2"/>
              </w:rPr>
            </w:r>
          </w:p>
        </w:tc>
        <w:tc>
          <w:tcPr>
            <w:tcW w:w="2387"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both"/>
              <w:rPr>
                <w:rFonts w:ascii="Courier New" w:hAnsi="Courier New" w:cs="Courier New"/>
                <w:spacing w:val="-2"/>
              </w:rPr>
            </w:pPr>
            <w:r>
              <w:rPr>
                <w:rFonts w:cs="Courier New" w:ascii="Courier New" w:hAnsi="Courier New"/>
                <w:spacing w:val="-2"/>
              </w:rPr>
            </w:r>
          </w:p>
        </w:tc>
        <w:tc>
          <w:tcPr>
            <w:tcW w:w="1875"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both"/>
              <w:rPr>
                <w:rFonts w:ascii="Courier New" w:hAnsi="Courier New" w:cs="Courier New"/>
                <w:spacing w:val="-2"/>
              </w:rPr>
            </w:pPr>
            <w:r>
              <w:rPr>
                <w:rFonts w:cs="Courier New" w:ascii="Courier New" w:hAnsi="Courier New"/>
                <w:spacing w:val="-2"/>
              </w:rPr>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both"/>
              <w:rPr>
                <w:rFonts w:ascii="Courier New" w:hAnsi="Courier New" w:cs="Courier New"/>
                <w:spacing w:val="-2"/>
              </w:rPr>
            </w:pPr>
            <w:r>
              <w:rPr>
                <w:rFonts w:cs="Courier New" w:ascii="Courier New" w:hAnsi="Courier New"/>
                <w:spacing w:val="-2"/>
              </w:rPr>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both"/>
              <w:rPr>
                <w:rFonts w:ascii="Courier New" w:hAnsi="Courier New" w:cs="Courier New"/>
                <w:spacing w:val="-2"/>
              </w:rPr>
            </w:pPr>
            <w:r>
              <w:rPr>
                <w:rFonts w:cs="Courier New" w:ascii="Courier New" w:hAnsi="Courier New"/>
                <w:spacing w:val="-2"/>
              </w:rPr>
            </w:r>
          </w:p>
        </w:tc>
      </w:tr>
      <w:tr>
        <w:trPr/>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u w:val="single"/>
              </w:rPr>
              <w:t>Power Plants:</w:t>
            </w:r>
          </w:p>
        </w:tc>
        <w:tc>
          <w:tcPr>
            <w:tcW w:w="2387"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both"/>
              <w:rPr>
                <w:rFonts w:ascii="Courier New" w:hAnsi="Courier New" w:cs="Courier New"/>
                <w:spacing w:val="-2"/>
              </w:rPr>
            </w:pPr>
            <w:r>
              <w:rPr>
                <w:rFonts w:cs="Courier New" w:ascii="Courier New" w:hAnsi="Courier New"/>
                <w:spacing w:val="-2"/>
              </w:rPr>
            </w:r>
          </w:p>
        </w:tc>
        <w:tc>
          <w:tcPr>
            <w:tcW w:w="1875"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both"/>
              <w:rPr>
                <w:rFonts w:ascii="Courier New" w:hAnsi="Courier New" w:cs="Courier New"/>
                <w:spacing w:val="-2"/>
              </w:rPr>
            </w:pPr>
            <w:r>
              <w:rPr>
                <w:rFonts w:cs="Courier New" w:ascii="Courier New" w:hAnsi="Courier New"/>
                <w:spacing w:val="-2"/>
              </w:rPr>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both"/>
              <w:rPr>
                <w:rFonts w:ascii="Courier New" w:hAnsi="Courier New" w:cs="Courier New"/>
                <w:spacing w:val="-2"/>
              </w:rPr>
            </w:pPr>
            <w:r>
              <w:rPr>
                <w:rFonts w:cs="Courier New" w:ascii="Courier New" w:hAnsi="Courier New"/>
                <w:spacing w:val="-2"/>
              </w:rPr>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both"/>
              <w:rPr>
                <w:rFonts w:ascii="Courier New" w:hAnsi="Courier New" w:cs="Courier New"/>
                <w:spacing w:val="-2"/>
              </w:rPr>
            </w:pPr>
            <w:r>
              <w:rPr>
                <w:rFonts w:cs="Courier New" w:ascii="Courier New" w:hAnsi="Courier New"/>
                <w:spacing w:val="-2"/>
              </w:rPr>
            </w:r>
          </w:p>
        </w:tc>
      </w:tr>
      <w:tr>
        <w:trPr/>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Puerto Quetzel</w:t>
            </w:r>
          </w:p>
        </w:tc>
        <w:tc>
          <w:tcPr>
            <w:tcW w:w="2387"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Guatemala</w:t>
            </w:r>
          </w:p>
        </w:tc>
        <w:tc>
          <w:tcPr>
            <w:tcW w:w="1875" w:type="dxa"/>
            <w:tcBorders/>
          </w:tcPr>
          <w:p>
            <w:pPr>
              <w:pStyle w:val="Normal"/>
              <w:tabs>
                <w:tab w:val="left" w:pos="252" w:leader="none"/>
                <w:tab w:val="left" w:pos="720" w:leader="none"/>
                <w:tab w:val="left" w:pos="1440" w:leader="none"/>
                <w:tab w:val="left" w:pos="2160" w:leader="none"/>
                <w:tab w:val="left" w:pos="2880" w:leader="none"/>
              </w:tabs>
              <w:suppressAutoHyphens w:val="true"/>
              <w:ind w:firstLine="90" w:start="252" w:end="0"/>
              <w:jc w:val="both"/>
              <w:rPr>
                <w:rFonts w:ascii="Courier New" w:hAnsi="Courier New" w:cs="Courier New"/>
                <w:spacing w:val="-2"/>
              </w:rPr>
            </w:pPr>
            <w:r>
              <w:rPr>
                <w:rFonts w:cs="Courier New" w:ascii="Courier New" w:hAnsi="Courier New"/>
                <w:spacing w:val="-2"/>
              </w:rPr>
              <w:t>Gas</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110 MW</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50%</w:t>
            </w:r>
          </w:p>
        </w:tc>
      </w:tr>
      <w:tr>
        <w:trPr/>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Batangas</w:t>
            </w:r>
          </w:p>
        </w:tc>
        <w:tc>
          <w:tcPr>
            <w:tcW w:w="2387"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Philippines</w:t>
            </w:r>
          </w:p>
        </w:tc>
        <w:tc>
          <w:tcPr>
            <w:tcW w:w="1875" w:type="dxa"/>
            <w:tcBorders/>
          </w:tcPr>
          <w:p>
            <w:pPr>
              <w:pStyle w:val="Normal"/>
              <w:tabs>
                <w:tab w:val="left" w:pos="252" w:leader="none"/>
                <w:tab w:val="left" w:pos="720" w:leader="none"/>
                <w:tab w:val="left" w:pos="1440" w:leader="none"/>
                <w:tab w:val="left" w:pos="2160" w:leader="none"/>
                <w:tab w:val="left" w:pos="2880" w:leader="none"/>
              </w:tabs>
              <w:suppressAutoHyphens w:val="true"/>
              <w:ind w:firstLine="90" w:start="252" w:end="0"/>
              <w:jc w:val="both"/>
              <w:rPr>
                <w:rFonts w:ascii="Courier New" w:hAnsi="Courier New" w:cs="Courier New"/>
                <w:spacing w:val="-2"/>
              </w:rPr>
            </w:pPr>
            <w:r>
              <w:rPr>
                <w:rFonts w:cs="Courier New" w:ascii="Courier New" w:hAnsi="Courier New"/>
                <w:spacing w:val="-2"/>
              </w:rPr>
              <w:t>Fuel oil</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110 MW</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100%</w:t>
            </w:r>
          </w:p>
        </w:tc>
      </w:tr>
      <w:tr>
        <w:trPr/>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Subic Bay</w:t>
            </w:r>
          </w:p>
        </w:tc>
        <w:tc>
          <w:tcPr>
            <w:tcW w:w="2387"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Philippines</w:t>
            </w:r>
          </w:p>
        </w:tc>
        <w:tc>
          <w:tcPr>
            <w:tcW w:w="1875" w:type="dxa"/>
            <w:tcBorders/>
          </w:tcPr>
          <w:p>
            <w:pPr>
              <w:pStyle w:val="Normal"/>
              <w:tabs>
                <w:tab w:val="left" w:pos="252" w:leader="none"/>
                <w:tab w:val="left" w:pos="720" w:leader="none"/>
                <w:tab w:val="left" w:pos="1440" w:leader="none"/>
                <w:tab w:val="left" w:pos="2160" w:leader="none"/>
                <w:tab w:val="left" w:pos="2880" w:leader="none"/>
              </w:tabs>
              <w:suppressAutoHyphens w:val="true"/>
              <w:ind w:firstLine="90" w:start="252" w:end="0"/>
              <w:jc w:val="both"/>
              <w:rPr>
                <w:rFonts w:ascii="Courier New" w:hAnsi="Courier New" w:cs="Courier New"/>
                <w:spacing w:val="-2"/>
              </w:rPr>
            </w:pPr>
            <w:r>
              <w:rPr>
                <w:rFonts w:cs="Courier New" w:ascii="Courier New" w:hAnsi="Courier New"/>
                <w:spacing w:val="-2"/>
              </w:rPr>
              <w:t>Fuel oil</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116 MW</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50%</w:t>
            </w:r>
          </w:p>
        </w:tc>
      </w:tr>
      <w:tr>
        <w:trPr/>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Bitterfeld</w:t>
            </w:r>
          </w:p>
        </w:tc>
        <w:tc>
          <w:tcPr>
            <w:tcW w:w="2387"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Germany</w:t>
            </w:r>
          </w:p>
        </w:tc>
        <w:tc>
          <w:tcPr>
            <w:tcW w:w="1875" w:type="dxa"/>
            <w:tcBorders/>
          </w:tcPr>
          <w:p>
            <w:pPr>
              <w:pStyle w:val="Normal"/>
              <w:tabs>
                <w:tab w:val="left" w:pos="252" w:leader="none"/>
                <w:tab w:val="left" w:pos="720" w:leader="none"/>
                <w:tab w:val="left" w:pos="1440" w:leader="none"/>
                <w:tab w:val="left" w:pos="2160" w:leader="none"/>
                <w:tab w:val="left" w:pos="2880" w:leader="none"/>
              </w:tabs>
              <w:suppressAutoHyphens w:val="true"/>
              <w:ind w:firstLine="90" w:start="252" w:end="0"/>
              <w:jc w:val="both"/>
              <w:rPr>
                <w:rFonts w:ascii="Courier New" w:hAnsi="Courier New" w:cs="Courier New"/>
                <w:spacing w:val="-2"/>
              </w:rPr>
            </w:pPr>
            <w:r>
              <w:rPr>
                <w:rFonts w:cs="Courier New" w:ascii="Courier New" w:hAnsi="Courier New"/>
                <w:spacing w:val="-2"/>
              </w:rPr>
              <w:t>Gas</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125 MW</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50%</w:t>
            </w:r>
          </w:p>
        </w:tc>
      </w:tr>
      <w:tr>
        <w:trPr/>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Puerto Plata</w:t>
            </w:r>
          </w:p>
        </w:tc>
        <w:tc>
          <w:tcPr>
            <w:tcW w:w="2387"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Dominican Republic</w:t>
            </w:r>
          </w:p>
        </w:tc>
        <w:tc>
          <w:tcPr>
            <w:tcW w:w="1875" w:type="dxa"/>
            <w:tcBorders/>
          </w:tcPr>
          <w:p>
            <w:pPr>
              <w:pStyle w:val="Normal"/>
              <w:tabs>
                <w:tab w:val="left" w:pos="-18" w:leader="none"/>
                <w:tab w:val="left" w:pos="720" w:leader="none"/>
                <w:tab w:val="left" w:pos="1440" w:leader="none"/>
                <w:tab w:val="left" w:pos="2160" w:leader="none"/>
                <w:tab w:val="left" w:pos="2880" w:leader="none"/>
              </w:tabs>
              <w:suppressAutoHyphens w:val="true"/>
              <w:ind w:firstLine="90" w:start="252" w:end="0"/>
              <w:rPr>
                <w:rFonts w:ascii="Courier New" w:hAnsi="Courier New" w:cs="Courier New"/>
                <w:spacing w:val="-2"/>
              </w:rPr>
            </w:pPr>
            <w:r>
              <w:rPr>
                <w:rFonts w:cs="Courier New" w:ascii="Courier New" w:hAnsi="Courier New"/>
                <w:spacing w:val="-2"/>
              </w:rPr>
              <w:t>Fuel oil</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185 MW</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50%</w:t>
            </w:r>
          </w:p>
        </w:tc>
      </w:tr>
      <w:tr>
        <w:trPr/>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Hainan Island</w:t>
            </w:r>
          </w:p>
        </w:tc>
        <w:tc>
          <w:tcPr>
            <w:tcW w:w="2387"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China</w:t>
            </w:r>
          </w:p>
        </w:tc>
        <w:tc>
          <w:tcPr>
            <w:tcW w:w="1875" w:type="dxa"/>
            <w:tcBorders/>
          </w:tcPr>
          <w:p>
            <w:pPr>
              <w:pStyle w:val="Normal"/>
              <w:tabs>
                <w:tab w:val="left" w:pos="252" w:leader="none"/>
                <w:tab w:val="left" w:pos="720" w:leader="none"/>
                <w:tab w:val="left" w:pos="1440" w:leader="none"/>
                <w:tab w:val="left" w:pos="2160" w:leader="none"/>
                <w:tab w:val="left" w:pos="2880" w:leader="none"/>
              </w:tabs>
              <w:suppressAutoHyphens w:val="true"/>
              <w:ind w:firstLine="90" w:start="252" w:end="0"/>
              <w:jc w:val="both"/>
              <w:rPr>
                <w:rFonts w:ascii="Courier New" w:hAnsi="Courier New" w:cs="Courier New"/>
                <w:spacing w:val="-2"/>
              </w:rPr>
            </w:pPr>
            <w:r>
              <w:rPr>
                <w:rFonts w:cs="Courier New" w:ascii="Courier New" w:hAnsi="Courier New"/>
                <w:spacing w:val="-2"/>
              </w:rPr>
              <w:t>Diesel</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152 MW</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100%</w:t>
            </w:r>
          </w:p>
        </w:tc>
      </w:tr>
      <w:tr>
        <w:trPr/>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Piti</w:t>
            </w:r>
          </w:p>
        </w:tc>
        <w:tc>
          <w:tcPr>
            <w:tcW w:w="2387"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Guam</w:t>
            </w:r>
          </w:p>
        </w:tc>
        <w:tc>
          <w:tcPr>
            <w:tcW w:w="1875" w:type="dxa"/>
            <w:tcBorders/>
          </w:tcPr>
          <w:p>
            <w:pPr>
              <w:pStyle w:val="Normal"/>
              <w:tabs>
                <w:tab w:val="left" w:pos="252" w:leader="none"/>
                <w:tab w:val="left" w:pos="720" w:leader="none"/>
                <w:tab w:val="left" w:pos="1440" w:leader="none"/>
                <w:tab w:val="left" w:pos="2160" w:leader="none"/>
                <w:tab w:val="left" w:pos="2880" w:leader="none"/>
              </w:tabs>
              <w:suppressAutoHyphens w:val="true"/>
              <w:ind w:firstLine="90" w:start="252" w:end="0"/>
              <w:jc w:val="both"/>
              <w:rPr>
                <w:rFonts w:ascii="Courier New" w:hAnsi="Courier New" w:cs="Courier New"/>
                <w:spacing w:val="-2"/>
              </w:rPr>
            </w:pPr>
            <w:r>
              <w:rPr>
                <w:rFonts w:cs="Courier New" w:ascii="Courier New" w:hAnsi="Courier New"/>
                <w:spacing w:val="-2"/>
              </w:rPr>
              <w:t>Diesel</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80 MW</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50%</w:t>
            </w:r>
          </w:p>
        </w:tc>
      </w:tr>
      <w:tr>
        <w:trPr/>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both"/>
              <w:rPr>
                <w:rFonts w:ascii="Courier New" w:hAnsi="Courier New" w:cs="Courier New"/>
                <w:spacing w:val="-2"/>
              </w:rPr>
            </w:pPr>
            <w:r>
              <w:rPr>
                <w:rFonts w:cs="Courier New" w:ascii="Courier New" w:hAnsi="Courier New"/>
                <w:spacing w:val="-2"/>
              </w:rPr>
            </w:r>
          </w:p>
        </w:tc>
        <w:tc>
          <w:tcPr>
            <w:tcW w:w="2387"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both"/>
              <w:rPr>
                <w:rFonts w:ascii="Courier New" w:hAnsi="Courier New" w:cs="Courier New"/>
                <w:spacing w:val="-2"/>
              </w:rPr>
            </w:pPr>
            <w:r>
              <w:rPr>
                <w:rFonts w:cs="Courier New" w:ascii="Courier New" w:hAnsi="Courier New"/>
                <w:spacing w:val="-2"/>
              </w:rPr>
            </w:r>
          </w:p>
        </w:tc>
        <w:tc>
          <w:tcPr>
            <w:tcW w:w="1875" w:type="dxa"/>
            <w:tcBorders/>
          </w:tcPr>
          <w:p>
            <w:pPr>
              <w:pStyle w:val="Normal"/>
              <w:tabs>
                <w:tab w:val="left" w:pos="252" w:leader="none"/>
                <w:tab w:val="left" w:pos="720" w:leader="none"/>
                <w:tab w:val="left" w:pos="1440" w:leader="none"/>
                <w:tab w:val="left" w:pos="2160" w:leader="none"/>
                <w:tab w:val="left" w:pos="2880" w:leader="none"/>
              </w:tabs>
              <w:suppressAutoHyphens w:val="true"/>
              <w:snapToGrid w:val="false"/>
              <w:ind w:firstLine="90" w:start="252" w:end="0"/>
              <w:jc w:val="both"/>
              <w:rPr>
                <w:rFonts w:ascii="Courier New" w:hAnsi="Courier New" w:cs="Courier New"/>
                <w:spacing w:val="-2"/>
              </w:rPr>
            </w:pPr>
            <w:r>
              <w:rPr>
                <w:rFonts w:cs="Courier New" w:ascii="Courier New" w:hAnsi="Courier New"/>
                <w:spacing w:val="-2"/>
              </w:rPr>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center"/>
              <w:rPr>
                <w:rFonts w:ascii="Courier New" w:hAnsi="Courier New" w:cs="Courier New"/>
                <w:spacing w:val="-2"/>
              </w:rPr>
            </w:pPr>
            <w:r>
              <w:rPr>
                <w:rFonts w:cs="Courier New" w:ascii="Courier New" w:hAnsi="Courier New"/>
                <w:spacing w:val="-2"/>
              </w:rPr>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center"/>
              <w:rPr>
                <w:rFonts w:ascii="Courier New" w:hAnsi="Courier New" w:cs="Courier New"/>
                <w:spacing w:val="-2"/>
              </w:rPr>
            </w:pPr>
            <w:r>
              <w:rPr>
                <w:rFonts w:cs="Courier New" w:ascii="Courier New" w:hAnsi="Courier New"/>
                <w:spacing w:val="-2"/>
              </w:rPr>
            </w:r>
          </w:p>
        </w:tc>
      </w:tr>
      <w:tr>
        <w:trPr/>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u w:val="single"/>
              </w:rPr>
              <w:t>Pipelines:</w:t>
            </w:r>
          </w:p>
        </w:tc>
        <w:tc>
          <w:tcPr>
            <w:tcW w:w="2387"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both"/>
              <w:rPr>
                <w:rFonts w:ascii="Courier New" w:hAnsi="Courier New" w:cs="Courier New"/>
                <w:spacing w:val="-2"/>
              </w:rPr>
            </w:pPr>
            <w:r>
              <w:rPr>
                <w:rFonts w:cs="Courier New" w:ascii="Courier New" w:hAnsi="Courier New"/>
                <w:spacing w:val="-2"/>
              </w:rPr>
            </w:r>
          </w:p>
        </w:tc>
        <w:tc>
          <w:tcPr>
            <w:tcW w:w="1875" w:type="dxa"/>
            <w:tcBorders/>
          </w:tcPr>
          <w:p>
            <w:pPr>
              <w:pStyle w:val="Normal"/>
              <w:tabs>
                <w:tab w:val="left" w:pos="252" w:leader="none"/>
                <w:tab w:val="left" w:pos="720" w:leader="none"/>
                <w:tab w:val="left" w:pos="1440" w:leader="none"/>
                <w:tab w:val="left" w:pos="2160" w:leader="none"/>
                <w:tab w:val="left" w:pos="2880" w:leader="none"/>
              </w:tabs>
              <w:suppressAutoHyphens w:val="true"/>
              <w:snapToGrid w:val="false"/>
              <w:ind w:firstLine="90" w:start="252" w:end="0"/>
              <w:jc w:val="both"/>
              <w:rPr>
                <w:rFonts w:ascii="Courier New" w:hAnsi="Courier New" w:cs="Courier New"/>
                <w:spacing w:val="-2"/>
              </w:rPr>
            </w:pPr>
            <w:r>
              <w:rPr>
                <w:rFonts w:cs="Courier New" w:ascii="Courier New" w:hAnsi="Courier New"/>
                <w:spacing w:val="-2"/>
              </w:rPr>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center"/>
              <w:rPr>
                <w:rFonts w:ascii="Courier New" w:hAnsi="Courier New" w:cs="Courier New"/>
                <w:spacing w:val="-2"/>
              </w:rPr>
            </w:pPr>
            <w:r>
              <w:rPr>
                <w:rFonts w:cs="Courier New" w:ascii="Courier New" w:hAnsi="Courier New"/>
                <w:spacing w:val="-2"/>
              </w:rPr>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snapToGrid w:val="false"/>
              <w:jc w:val="center"/>
              <w:rPr>
                <w:rFonts w:ascii="Courier New" w:hAnsi="Courier New" w:cs="Courier New"/>
                <w:spacing w:val="-2"/>
              </w:rPr>
            </w:pPr>
            <w:r>
              <w:rPr>
                <w:rFonts w:cs="Courier New" w:ascii="Courier New" w:hAnsi="Courier New"/>
                <w:spacing w:val="-2"/>
              </w:rPr>
            </w:r>
          </w:p>
        </w:tc>
      </w:tr>
      <w:tr>
        <w:trPr/>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TGS</w:t>
            </w:r>
          </w:p>
        </w:tc>
        <w:tc>
          <w:tcPr>
            <w:tcW w:w="2387"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Argentina</w:t>
            </w:r>
          </w:p>
        </w:tc>
        <w:tc>
          <w:tcPr>
            <w:tcW w:w="1875" w:type="dxa"/>
            <w:tcBorders/>
          </w:tcPr>
          <w:p>
            <w:pPr>
              <w:pStyle w:val="Normal"/>
              <w:tabs>
                <w:tab w:val="left" w:pos="252" w:leader="none"/>
                <w:tab w:val="left" w:pos="720" w:leader="none"/>
                <w:tab w:val="left" w:pos="1440" w:leader="none"/>
                <w:tab w:val="left" w:pos="2160" w:leader="none"/>
                <w:tab w:val="left" w:pos="2880" w:leader="none"/>
              </w:tabs>
              <w:suppressAutoHyphens w:val="true"/>
              <w:ind w:firstLine="90" w:start="252" w:end="0"/>
              <w:jc w:val="both"/>
              <w:rPr>
                <w:rFonts w:ascii="Courier New" w:hAnsi="Courier New" w:cs="Courier New"/>
                <w:spacing w:val="-2"/>
              </w:rPr>
            </w:pPr>
            <w:r>
              <w:rPr>
                <w:rFonts w:cs="Courier New" w:ascii="Courier New" w:hAnsi="Courier New"/>
                <w:spacing w:val="-2"/>
              </w:rPr>
              <w:t>-</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1.9 Bcf/d;</w:t>
            </w:r>
          </w:p>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4,104 miles</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35%</w:t>
            </w:r>
          </w:p>
        </w:tc>
      </w:tr>
      <w:tr>
        <w:trPr/>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Centragas</w:t>
            </w:r>
          </w:p>
        </w:tc>
        <w:tc>
          <w:tcPr>
            <w:tcW w:w="2387"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Colombia</w:t>
            </w:r>
          </w:p>
        </w:tc>
        <w:tc>
          <w:tcPr>
            <w:tcW w:w="1875" w:type="dxa"/>
            <w:tcBorders/>
          </w:tcPr>
          <w:p>
            <w:pPr>
              <w:pStyle w:val="Normal"/>
              <w:tabs>
                <w:tab w:val="left" w:pos="252" w:leader="none"/>
                <w:tab w:val="left" w:pos="720" w:leader="none"/>
                <w:tab w:val="left" w:pos="1440" w:leader="none"/>
                <w:tab w:val="left" w:pos="2160" w:leader="none"/>
                <w:tab w:val="left" w:pos="2880" w:leader="none"/>
              </w:tabs>
              <w:suppressAutoHyphens w:val="true"/>
              <w:ind w:firstLine="90" w:start="252" w:end="0"/>
              <w:jc w:val="both"/>
              <w:rPr>
                <w:rFonts w:ascii="Courier New" w:hAnsi="Courier New" w:cs="Courier New"/>
                <w:spacing w:val="-2"/>
              </w:rPr>
            </w:pPr>
            <w:r>
              <w:rPr>
                <w:rFonts w:cs="Courier New" w:ascii="Courier New" w:hAnsi="Courier New"/>
                <w:spacing w:val="-2"/>
              </w:rPr>
              <w:t>-</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110 MMcf/d;</w:t>
            </w:r>
          </w:p>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357 miles</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50%</w:t>
            </w:r>
          </w:p>
        </w:tc>
      </w:tr>
      <w:tr>
        <w:trPr/>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Transredes</w:t>
            </w:r>
          </w:p>
        </w:tc>
        <w:tc>
          <w:tcPr>
            <w:tcW w:w="2387" w:type="dxa"/>
            <w:tcBorders/>
          </w:tcPr>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Bolivia</w:t>
            </w:r>
          </w:p>
        </w:tc>
        <w:tc>
          <w:tcPr>
            <w:tcW w:w="1875" w:type="dxa"/>
            <w:tcBorders/>
          </w:tcPr>
          <w:p>
            <w:pPr>
              <w:pStyle w:val="Normal"/>
              <w:tabs>
                <w:tab w:val="left" w:pos="252" w:leader="none"/>
                <w:tab w:val="left" w:pos="720" w:leader="none"/>
                <w:tab w:val="left" w:pos="1440" w:leader="none"/>
                <w:tab w:val="left" w:pos="2160" w:leader="none"/>
                <w:tab w:val="left" w:pos="2880" w:leader="none"/>
              </w:tabs>
              <w:suppressAutoHyphens w:val="true"/>
              <w:ind w:firstLine="90" w:start="252" w:end="0"/>
              <w:jc w:val="both"/>
              <w:rPr>
                <w:rFonts w:ascii="Courier New" w:hAnsi="Courier New" w:cs="Courier New"/>
                <w:spacing w:val="-2"/>
              </w:rPr>
            </w:pPr>
            <w:r>
              <w:rPr>
                <w:rFonts w:cs="Courier New" w:ascii="Courier New" w:hAnsi="Courier New"/>
                <w:spacing w:val="-2"/>
              </w:rPr>
              <w:t>-</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1.3 Bcf/d;</w:t>
            </w:r>
          </w:p>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35 MMb/d;</w:t>
            </w:r>
          </w:p>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3,093 miles</w:t>
            </w:r>
          </w:p>
        </w:tc>
        <w:tc>
          <w:tcPr>
            <w:tcW w:w="2131" w:type="dxa"/>
            <w:tcBorders/>
          </w:tcPr>
          <w:p>
            <w:pPr>
              <w:pStyle w:val="Normal"/>
              <w:tabs>
                <w:tab w:val="left" w:pos="0" w:leader="none"/>
                <w:tab w:val="left" w:pos="720" w:leader="none"/>
                <w:tab w:val="left" w:pos="1440" w:leader="none"/>
                <w:tab w:val="left" w:pos="2160" w:leader="none"/>
                <w:tab w:val="left" w:pos="2880" w:leader="none"/>
              </w:tabs>
              <w:suppressAutoHyphens w:val="true"/>
              <w:jc w:val="center"/>
              <w:rPr>
                <w:rFonts w:ascii="Courier New" w:hAnsi="Courier New" w:cs="Courier New"/>
                <w:spacing w:val="-2"/>
              </w:rPr>
            </w:pPr>
            <w:r>
              <w:rPr>
                <w:rFonts w:cs="Courier New" w:ascii="Courier New" w:hAnsi="Courier New"/>
                <w:spacing w:val="-2"/>
              </w:rPr>
              <w:t>25%</w:t>
            </w:r>
          </w:p>
        </w:tc>
      </w:tr>
    </w:tbl>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b/>
          <w:spacing w:val="-2"/>
        </w:rPr>
        <w:t>Electric Utility Properties</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PGE’s principal plants and appurtenant generating facilities and storage reservoirs are situated on land owned by PGE in fee or land under the control of PGE pursuant to valid existing leases, federal or state licenses, easements, or other agreements.  In some cases meters and transformers are located upon the premises of customers.  The indenture securing PGE’s first mortgage bonds constitutes a direct first mortgage lien on substantially all utility property and franchises, other than expressly excepted property.</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Generating facilities owned by PGE are set forth in the following table:</w:t>
      </w:r>
    </w:p>
    <w:p>
      <w:pPr>
        <w:pStyle w:val="Normal"/>
        <w:tabs>
          <w:tab w:val="left" w:pos="0" w:leader="none"/>
          <w:tab w:val="left" w:pos="720" w:leader="none"/>
          <w:tab w:val="left" w:pos="1440" w:leader="none"/>
          <w:tab w:val="left" w:pos="2160" w:leader="none"/>
          <w:tab w:val="left" w:pos="2880" w:leader="none"/>
        </w:tabs>
        <w:suppressAutoHyphens w:val="true"/>
        <w:ind w:firstLine="7920"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ind w:firstLine="7290" w:end="0"/>
        <w:jc w:val="both"/>
        <w:rPr>
          <w:rFonts w:ascii="Courier New" w:hAnsi="Courier New" w:cs="Courier New"/>
          <w:b/>
          <w:spacing w:val="-2"/>
        </w:rPr>
      </w:pPr>
      <w:r>
        <w:rPr>
          <w:rFonts w:eastAsia="Courier New" w:cs="Courier New" w:ascii="Courier New" w:hAnsi="Courier New"/>
          <w:b/>
          <w:spacing w:val="-2"/>
        </w:rPr>
        <w:t xml:space="preserve">     </w:t>
      </w:r>
      <w:r>
        <w:rPr>
          <w:rFonts w:cs="Courier New" w:ascii="Courier New" w:hAnsi="Courier New"/>
          <w:b/>
          <w:spacing w:val="-2"/>
        </w:rPr>
        <w:t>PGE Net</w:t>
      </w:r>
    </w:p>
    <w:p>
      <w:pPr>
        <w:pStyle w:val="Normal"/>
        <w:tabs>
          <w:tab w:val="left" w:pos="0" w:leader="none"/>
          <w:tab w:val="left" w:pos="720" w:leader="none"/>
          <w:tab w:val="left" w:pos="1440" w:leader="none"/>
          <w:tab w:val="left" w:pos="2160" w:leader="none"/>
          <w:tab w:val="left" w:pos="2880" w:leader="none"/>
        </w:tabs>
        <w:suppressAutoHyphens w:val="true"/>
        <w:ind w:firstLine="7650" w:end="0"/>
        <w:jc w:val="both"/>
        <w:rPr>
          <w:rFonts w:ascii="Courier New" w:hAnsi="Courier New" w:cs="Courier New"/>
          <w:b/>
          <w:spacing w:val="-2"/>
        </w:rPr>
      </w:pPr>
      <w:r>
        <w:rPr>
          <w:rFonts w:eastAsia="Courier New" w:cs="Courier New" w:ascii="Courier New" w:hAnsi="Courier New"/>
          <w:b/>
          <w:spacing w:val="-2"/>
        </w:rPr>
        <w:t xml:space="preserve">    </w:t>
      </w:r>
      <w:r>
        <w:rPr>
          <w:rFonts w:cs="Courier New" w:ascii="Courier New" w:hAnsi="Courier New"/>
          <w:b/>
          <w:spacing w:val="-2"/>
        </w:rPr>
        <w:t>MW</w:t>
      </w:r>
    </w:p>
    <w:p>
      <w:pPr>
        <w:pStyle w:val="Normal"/>
        <w:tabs>
          <w:tab w:val="left" w:pos="0" w:leader="none"/>
          <w:tab w:val="left" w:pos="720" w:leader="none"/>
          <w:tab w:val="left" w:pos="1440" w:leader="none"/>
          <w:tab w:val="left" w:pos="2160" w:leader="none"/>
          <w:tab w:val="left" w:pos="2880" w:leader="none"/>
        </w:tabs>
        <w:suppressAutoHyphens w:val="true"/>
        <w:rPr>
          <w:rFonts w:ascii="Courier New" w:hAnsi="Courier New" w:cs="Courier New"/>
          <w:b/>
          <w:spacing w:val="-2"/>
        </w:rPr>
      </w:pPr>
      <w:r>
        <w:rPr>
          <w:rFonts w:eastAsia="Courier New" w:cs="Courier New" w:ascii="Courier New" w:hAnsi="Courier New"/>
          <w:b/>
          <w:spacing w:val="-2"/>
        </w:rPr>
        <w:t xml:space="preserve">   </w:t>
      </w:r>
      <w:r>
        <w:rPr>
          <w:rFonts w:cs="Courier New" w:ascii="Courier New" w:hAnsi="Courier New"/>
          <w:b/>
          <w:spacing w:val="-2"/>
        </w:rPr>
        <w:t>Facility</w:t>
        <w:tab/>
        <w:tab/>
        <w:t xml:space="preserve">       Location</w:t>
        <w:tab/>
        <w:tab/>
        <w:t xml:space="preserve">  Fuel</w:t>
        <w:tab/>
        <w:tab/>
        <w:tab/>
        <w:t xml:space="preserve">    Capability</w:t>
      </w:r>
    </w:p>
    <w:p>
      <w:pPr>
        <w:pStyle w:val="Normal"/>
        <w:tabs>
          <w:tab w:val="left" w:pos="0" w:leader="none"/>
          <w:tab w:val="left" w:pos="720" w:leader="none"/>
          <w:tab w:val="left" w:pos="1440" w:leader="none"/>
          <w:tab w:val="left" w:pos="2160" w:leader="none"/>
          <w:tab w:val="left" w:pos="2880" w:leader="none"/>
        </w:tabs>
        <w:suppressAutoHyphens w:val="true"/>
        <w:rPr>
          <w:rFonts w:ascii="Courier New" w:hAnsi="Courier New" w:cs="Courier New"/>
          <w:spacing w:val="-2"/>
        </w:rPr>
      </w:pPr>
      <w:r>
        <w:rPr>
          <w:rFonts w:cs="Courier New" w:ascii="Courier New" w:hAnsi="Courier New"/>
          <w:b/>
          <w:spacing w:val="-2"/>
        </w:rPr>
        <w:t>Wholly Owned:</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Faraday</w:t>
        <w:tab/>
        <w:tab/>
        <w:t xml:space="preserve">   Estacada, OR</w:t>
        <w:tab/>
        <w:tab/>
        <w:t>Hydro</w:t>
        <w:tab/>
        <w:tab/>
        <w:tab/>
        <w:tab/>
        <w:t xml:space="preserve"> 44</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North Fork</w:t>
        <w:tab/>
        <w:t xml:space="preserve">   Estacada, OR</w:t>
        <w:tab/>
        <w:tab/>
        <w:t>Hydro</w:t>
        <w:tab/>
        <w:tab/>
        <w:tab/>
        <w:tab/>
        <w:t xml:space="preserve"> 54</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Oak Grove</w:t>
        <w:tab/>
        <w:tab/>
        <w:t xml:space="preserve">   Three Lynx, OR</w:t>
        <w:tab/>
        <w:tab/>
        <w:t>Hydro</w:t>
        <w:tab/>
        <w:tab/>
        <w:tab/>
        <w:tab/>
        <w:t xml:space="preserve"> 44</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River Mill</w:t>
        <w:tab/>
        <w:t xml:space="preserve">   Estacada, OR</w:t>
        <w:tab/>
        <w:tab/>
        <w:t>Hydro</w:t>
        <w:tab/>
        <w:tab/>
        <w:tab/>
        <w:tab/>
        <w:t xml:space="preserve"> 25</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Pelton</w:t>
        <w:tab/>
        <w:tab/>
        <w:t xml:space="preserve">   Madras, OR</w:t>
        <w:tab/>
        <w:tab/>
        <w:t>Hydro</w:t>
        <w:tab/>
        <w:tab/>
        <w:tab/>
        <w:tab/>
        <w:t>108</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Round Butte</w:t>
        <w:tab/>
        <w:t xml:space="preserve">   Madras, OR</w:t>
        <w:tab/>
        <w:tab/>
        <w:t>Hydro</w:t>
        <w:tab/>
        <w:tab/>
        <w:tab/>
        <w:tab/>
        <w:t>300</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Bull Run</w:t>
        <w:tab/>
        <w:tab/>
        <w:t xml:space="preserve">   Bull Run, OR</w:t>
        <w:tab/>
        <w:tab/>
        <w:t>Hydro</w:t>
        <w:tab/>
        <w:tab/>
        <w:tab/>
        <w:tab/>
        <w:t xml:space="preserve"> 22</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Sullivan</w:t>
        <w:tab/>
        <w:tab/>
        <w:t xml:space="preserve">   West Linn, OR</w:t>
        <w:tab/>
        <w:tab/>
        <w:t>Hydro</w:t>
        <w:tab/>
        <w:tab/>
        <w:tab/>
        <w:tab/>
        <w:t xml:space="preserve"> 16</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Beaver</w:t>
        <w:tab/>
        <w:tab/>
        <w:t xml:space="preserve">   Clatskanie, OR</w:t>
        <w:tab/>
        <w:tab/>
        <w:t>Gas/Oil</w:t>
        <w:tab/>
        <w:tab/>
        <w:tab/>
        <w:t>500</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Coyote Springs</w:t>
        <w:tab/>
        <w:t xml:space="preserve">   Boardman, OR</w:t>
        <w:tab/>
        <w:tab/>
        <w:t>Gas/Oil</w:t>
        <w:tab/>
        <w:tab/>
        <w:tab/>
        <w:t>241</w:t>
      </w:r>
    </w:p>
    <w:p>
      <w:pPr>
        <w:pStyle w:val="Normal"/>
        <w:tabs>
          <w:tab w:val="left" w:pos="0" w:leader="none"/>
          <w:tab w:val="left" w:pos="720" w:leader="none"/>
          <w:tab w:val="left" w:pos="1440" w:leader="none"/>
          <w:tab w:val="left" w:pos="2160" w:leader="none"/>
          <w:tab w:val="left" w:pos="2880" w:leader="none"/>
        </w:tabs>
        <w:suppressAutoHyphens w:val="true"/>
        <w:ind w:firstLine="9620" w:end="0"/>
        <w:jc w:val="both"/>
        <w:rPr>
          <w:rFonts w:ascii="Courier New" w:hAnsi="Courier New" w:cs="Courier New"/>
          <w:spacing w:val="-2"/>
        </w:rPr>
      </w:pPr>
      <w:r>
        <w:rPr>
          <w:rFonts w:cs="Courier New" w:ascii="Courier New" w:hAnsi="Courier New"/>
          <w:b/>
          <w:spacing w:val="-2"/>
        </w:rPr>
        <w:t>PGE</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b/>
          <w:spacing w:val="-2"/>
        </w:rPr>
        <w:t>Jointly Owned:</w:t>
        <w:tab/>
        <w:tab/>
        <w:tab/>
        <w:tab/>
        <w:tab/>
        <w:tab/>
        <w:tab/>
        <w:tab/>
        <w:tab/>
        <w:tab/>
        <w:tab/>
        <w:t>Interest</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Boardman</w:t>
        <w:tab/>
        <w:tab/>
        <w:t xml:space="preserve">   Boardman, OR</w:t>
        <w:tab/>
        <w:tab/>
        <w:t>Coal</w:t>
        <w:tab/>
        <w:tab/>
        <w:tab/>
        <w:tab/>
        <w:t xml:space="preserve">348 </w:t>
        <w:tab/>
        <w:tab/>
        <w:t xml:space="preserve">  65.0%</w:t>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eastAsia="Courier New" w:cs="Courier New" w:ascii="Courier New" w:hAnsi="Courier New"/>
          <w:spacing w:val="-2"/>
        </w:rPr>
        <w:t xml:space="preserve">   </w:t>
      </w:r>
      <w:r>
        <w:rPr>
          <w:rFonts w:cs="Courier New" w:ascii="Courier New" w:hAnsi="Courier New"/>
          <w:spacing w:val="-2"/>
        </w:rPr>
        <w:t>Colstrip 3 &amp; 4</w:t>
        <w:tab/>
        <w:t xml:space="preserve">   Colstrip, MT</w:t>
        <w:tab/>
        <w:tab/>
        <w:t>Coal</w:t>
        <w:tab/>
        <w:tab/>
        <w:tab/>
        <w:t xml:space="preserve">    </w:t>
      </w:r>
      <w:r>
        <w:rPr>
          <w:rFonts w:cs="Courier New" w:ascii="Courier New" w:hAnsi="Courier New"/>
          <w:spacing w:val="-2"/>
          <w:u w:val="single"/>
        </w:rPr>
        <w:t xml:space="preserve">  296</w:t>
      </w:r>
      <w:r>
        <w:rPr>
          <w:rFonts w:cs="Courier New" w:ascii="Courier New" w:hAnsi="Courier New"/>
          <w:spacing w:val="-2"/>
        </w:rPr>
        <w:t xml:space="preserve"> </w:t>
        <w:tab/>
        <w:tab/>
        <w:t xml:space="preserve">  20.0%</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ab/>
        <w:tab/>
        <w:tab/>
        <w:tab/>
        <w:tab/>
        <w:tab/>
        <w:tab/>
        <w:tab/>
        <w:tab/>
        <w:t xml:space="preserve">    1,998</w:t>
      </w:r>
      <w:r>
        <w:br w:type="page"/>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PGE holds licenses under the Federal Power Act for its hydroelectric generating plants as well as licenses from the State of Oregon for all or portions of five of the plants.  All of its licenses expire during the years 2001 to 2006.  The FERC requires that a notice of intent to relicense these projects be filed approximately five years prior to expiration of the license.</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PGE filed for relicensing of the Pelton Round Butte Project in December 1998 and in December 1999 reached a preliminary agreement that would result in shared ownership and control of the Project with the Confederated Tribes of Warm Springs over a proposed 50-year license period.  PGE would remain as the operator of the Project.</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PGE has reached a tentative agreement with the City of Portland, the State of Oregon, and the National Marine Fisheries Service to decommission the Bull Run Hydroelectric Project, removing the Marmot and Little Sandy Dams.  The purpose of the agreement is to improve habitat for salmon, steelhead, and other fish protected by the Endangered Species Act in the Little Sandy/Bull Run watersheds.  In November 1999, PGE filed with the FERC a “Notice of Intent Not to File Application for New License” when its existing federal license expires in November 2004.  The regulatory approval process and dam decommissioning are expected to take approximately three years.</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PGE is actively pursuing the renewal of all other licenses for its hydroelectric generating plants.</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Following the 1993 closure of the Trojan nuclear plant, PGE was granted a possession-only license amendment by the NRC.  In early 1996 PGE received NRC approval of its Trojan decommissioning plan.</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PGE leases its headquarters complex in downtown Portland and the coal-handling facilities and certain railroad cars for the Boardman coal plant.</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b/>
          <w:spacing w:val="-2"/>
        </w:rPr>
        <w:t>Oil and Gas Exploration and Production Properties and Reserves</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r>
      <w:r>
        <w:rPr>
          <w:rFonts w:cs="Courier New" w:ascii="Courier New" w:hAnsi="Courier New"/>
          <w:spacing w:val="-2"/>
          <w:u w:val="single"/>
        </w:rPr>
        <w:t>Reserve Information</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t>There are numerous uncertainties inherent in estimating quantities of proved reserves and in projecting future rates of production and timing of development expenditures, including many factors beyond the control of the producer.  Reserve engineering is a subjective process of estimating underground accumulations of natural gas and liquids, including crude oil, condensate and natural gas liquids, that cannot be measured in an exact manner.  The accuracy of any reserve estimate is a function of the amount and quality of available data and of engineering and geological interpretation and judgment.  As a result, estimates of different engineers normally vary.  In addition, results of drilling, testing and production subsequent to the date of an estimate may justify revision of such estimate.  Accordingly, reserve estimates are often different from the quantities ultimately recovered.  The meaningfulness of such estimates is highly dependent upon the accuracy of the assumptions upon which they were based.</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tab/>
      </w:r>
      <w:r>
        <w:rPr>
          <w:rFonts w:cs="Courier New" w:ascii="Courier New" w:hAnsi="Courier New"/>
          <w:spacing w:val="-2"/>
          <w:u w:val="single"/>
        </w:rPr>
        <w:t>Producing Oil and Gas Wells</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The following table reflects Enron's ownership at December 31, 1999 in gas and oil wells located in India and China.  "Net" is obtained by multiplying "Gross" by Enron's working interests in the properties.  Gross gas and oil wells include ____ with multiple completions.</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center" w:pos="1980" w:leader="none"/>
          <w:tab w:val="center" w:pos="4860" w:leader="none"/>
          <w:tab w:val="center" w:pos="7650" w:leader="none"/>
        </w:tabs>
        <w:rPr>
          <w:rFonts w:ascii="Courier New" w:hAnsi="Courier New" w:cs="Courier New"/>
          <w:spacing w:val="-2"/>
        </w:rPr>
      </w:pPr>
      <w:r>
        <w:rPr>
          <w:rFonts w:cs="Courier New" w:ascii="Courier New" w:hAnsi="Courier New"/>
          <w:spacing w:val="-2"/>
        </w:rPr>
        <w:tab/>
        <w:t>Productive</w:t>
        <w:tab/>
        <w:t>Productive</w:t>
        <w:tab/>
        <w:t>Total</w:t>
      </w:r>
    </w:p>
    <w:p>
      <w:pPr>
        <w:pStyle w:val="Normal"/>
        <w:tabs>
          <w:tab w:val="left" w:pos="720" w:leader="none"/>
          <w:tab w:val="center" w:pos="1980" w:leader="none"/>
          <w:tab w:val="left" w:pos="3060" w:leader="none"/>
          <w:tab w:val="left" w:pos="3780" w:leader="none"/>
          <w:tab w:val="center" w:pos="4860" w:leader="none"/>
          <w:tab w:val="left" w:pos="5940" w:leader="none"/>
          <w:tab w:val="left" w:pos="6660" w:leader="none"/>
          <w:tab w:val="center" w:pos="7650" w:leader="none"/>
          <w:tab w:val="left" w:pos="8640" w:leader="none"/>
        </w:tabs>
        <w:rPr>
          <w:rFonts w:ascii="Courier New" w:hAnsi="Courier New" w:cs="Courier New"/>
          <w:spacing w:val="-2"/>
        </w:rPr>
      </w:pPr>
      <w:r>
        <w:rPr>
          <w:rFonts w:cs="Courier New" w:ascii="Courier New" w:hAnsi="Courier New"/>
          <w:spacing w:val="-2"/>
        </w:rPr>
        <w:tab/>
      </w:r>
      <w:r>
        <w:rPr>
          <w:rFonts w:cs="Courier New" w:ascii="Courier New" w:hAnsi="Courier New"/>
          <w:spacing w:val="-2"/>
          <w:u w:val="single"/>
        </w:rPr>
        <w:tab/>
        <w:t>Gas Wells</w:t>
        <w:tab/>
      </w:r>
      <w:r>
        <w:rPr>
          <w:rFonts w:cs="Courier New" w:ascii="Courier New" w:hAnsi="Courier New"/>
          <w:spacing w:val="-2"/>
        </w:rPr>
        <w:tab/>
      </w:r>
      <w:r>
        <w:rPr>
          <w:rFonts w:cs="Courier New" w:ascii="Courier New" w:hAnsi="Courier New"/>
          <w:spacing w:val="-2"/>
          <w:u w:val="single"/>
        </w:rPr>
        <w:tab/>
        <w:t>Oil Wells</w:t>
        <w:tab/>
      </w:r>
      <w:r>
        <w:rPr>
          <w:rFonts w:cs="Courier New" w:ascii="Courier New" w:hAnsi="Courier New"/>
          <w:spacing w:val="-2"/>
        </w:rPr>
        <w:tab/>
      </w:r>
      <w:r>
        <w:rPr>
          <w:rFonts w:cs="Courier New" w:ascii="Courier New" w:hAnsi="Courier New"/>
          <w:spacing w:val="-2"/>
          <w:u w:val="single"/>
        </w:rPr>
        <w:t>Productive Wells</w:t>
        <w:tab/>
      </w:r>
    </w:p>
    <w:p>
      <w:pPr>
        <w:pStyle w:val="Normal"/>
        <w:tabs>
          <w:tab w:val="clear" w:pos="720"/>
          <w:tab w:val="center" w:pos="1170" w:leader="none"/>
          <w:tab w:val="center" w:pos="2610" w:leader="none"/>
          <w:tab w:val="center" w:pos="4140" w:leader="none"/>
          <w:tab w:val="center" w:pos="5580" w:leader="none"/>
          <w:tab w:val="center" w:pos="6930" w:leader="none"/>
          <w:tab w:val="center" w:pos="8370" w:leader="none"/>
        </w:tabs>
        <w:rPr>
          <w:rFonts w:ascii="Courier New" w:hAnsi="Courier New" w:cs="Courier New"/>
          <w:spacing w:val="-2"/>
        </w:rPr>
      </w:pPr>
      <w:r>
        <w:rPr>
          <w:rFonts w:cs="Courier New" w:ascii="Courier New" w:hAnsi="Courier New"/>
          <w:spacing w:val="-2"/>
        </w:rPr>
        <w:tab/>
      </w:r>
      <w:r>
        <w:rPr>
          <w:rFonts w:cs="Courier New" w:ascii="Courier New" w:hAnsi="Courier New"/>
          <w:spacing w:val="-2"/>
          <w:u w:val="single"/>
        </w:rPr>
        <w:t>Gross</w:t>
      </w:r>
      <w:r>
        <w:rPr>
          <w:rFonts w:cs="Courier New" w:ascii="Courier New" w:hAnsi="Courier New"/>
          <w:spacing w:val="-2"/>
        </w:rPr>
        <w:tab/>
      </w:r>
      <w:r>
        <w:rPr>
          <w:rFonts w:cs="Courier New" w:ascii="Courier New" w:hAnsi="Courier New"/>
          <w:spacing w:val="-2"/>
          <w:u w:val="single"/>
        </w:rPr>
        <w:t>Net</w:t>
      </w:r>
      <w:r>
        <w:rPr>
          <w:rFonts w:cs="Courier New" w:ascii="Courier New" w:hAnsi="Courier New"/>
          <w:spacing w:val="-2"/>
        </w:rPr>
        <w:tab/>
      </w:r>
      <w:r>
        <w:rPr>
          <w:rFonts w:cs="Courier New" w:ascii="Courier New" w:hAnsi="Courier New"/>
          <w:spacing w:val="-2"/>
          <w:u w:val="single"/>
        </w:rPr>
        <w:t>Gross</w:t>
      </w:r>
      <w:r>
        <w:rPr>
          <w:rFonts w:cs="Courier New" w:ascii="Courier New" w:hAnsi="Courier New"/>
          <w:spacing w:val="-2"/>
        </w:rPr>
        <w:tab/>
      </w:r>
      <w:r>
        <w:rPr>
          <w:rFonts w:cs="Courier New" w:ascii="Courier New" w:hAnsi="Courier New"/>
          <w:spacing w:val="-2"/>
          <w:u w:val="single"/>
        </w:rPr>
        <w:t>Net</w:t>
      </w:r>
      <w:r>
        <w:rPr>
          <w:rFonts w:cs="Courier New" w:ascii="Courier New" w:hAnsi="Courier New"/>
          <w:spacing w:val="-2"/>
        </w:rPr>
        <w:tab/>
      </w:r>
      <w:r>
        <w:rPr>
          <w:rFonts w:cs="Courier New" w:ascii="Courier New" w:hAnsi="Courier New"/>
          <w:spacing w:val="-2"/>
          <w:u w:val="single"/>
        </w:rPr>
        <w:t>Gross</w:t>
      </w:r>
      <w:r>
        <w:rPr>
          <w:rFonts w:cs="Courier New" w:ascii="Courier New" w:hAnsi="Courier New"/>
          <w:spacing w:val="-2"/>
        </w:rPr>
        <w:tab/>
      </w:r>
      <w:r>
        <w:rPr>
          <w:rFonts w:cs="Courier New" w:ascii="Courier New" w:hAnsi="Courier New"/>
          <w:spacing w:val="-2"/>
          <w:u w:val="single"/>
        </w:rPr>
        <w:t>Net</w:t>
      </w:r>
    </w:p>
    <w:p>
      <w:pPr>
        <w:pStyle w:val="Normal"/>
        <w:tabs>
          <w:tab w:val="clear" w:pos="720"/>
          <w:tab w:val="left" w:pos="360" w:leader="none"/>
          <w:tab w:val="left" w:pos="3120" w:leader="none"/>
          <w:tab w:val="left" w:pos="5880" w:leader="none"/>
          <w:tab w:val="center" w:pos="7080" w:leader="none"/>
        </w:tabs>
        <w:suppressAutoHyphens w:val="true"/>
        <w:ind w:start="-720" w:end="-720"/>
        <w:jc w:val="both"/>
        <w:rPr>
          <w:rFonts w:ascii="Courier New" w:hAnsi="Courier New" w:cs="Courier New"/>
          <w:spacing w:val="-2"/>
        </w:rPr>
      </w:pPr>
      <w:r>
        <w:rPr>
          <w:rFonts w:cs="Courier New" w:ascii="Courier New" w:hAnsi="Courier New"/>
          <w:spacing w:val="-2"/>
        </w:rPr>
      </w:r>
    </w:p>
    <w:p>
      <w:pPr>
        <w:pStyle w:val="Normal"/>
        <w:tabs>
          <w:tab w:val="clear" w:pos="720"/>
          <w:tab w:val="left" w:pos="360" w:leader="none"/>
          <w:tab w:val="left" w:pos="3120" w:leader="none"/>
          <w:tab w:val="left" w:pos="5880" w:leader="none"/>
          <w:tab w:val="center" w:pos="7080" w:leader="none"/>
        </w:tabs>
        <w:suppressAutoHyphens w:val="true"/>
        <w:ind w:start="-720" w:end="-720"/>
        <w:jc w:val="both"/>
        <w:rPr>
          <w:rFonts w:ascii="Courier New" w:hAnsi="Courier New" w:cs="Courier New"/>
          <w:spacing w:val="-2"/>
        </w:rPr>
      </w:pPr>
      <w:r>
        <w:rPr>
          <w:rFonts w:cs="Courier New" w:ascii="Courier New" w:hAnsi="Courier New"/>
          <w:spacing w:val="-2"/>
        </w:rPr>
      </w:r>
    </w:p>
    <w:p>
      <w:pPr>
        <w:pStyle w:val="Normal"/>
        <w:tabs>
          <w:tab w:val="clear" w:pos="720"/>
          <w:tab w:val="left" w:pos="360" w:leader="none"/>
          <w:tab w:val="left" w:pos="3120" w:leader="none"/>
          <w:tab w:val="left" w:pos="5880" w:leader="none"/>
          <w:tab w:val="center" w:pos="7080" w:leader="none"/>
        </w:tabs>
        <w:suppressAutoHyphens w:val="true"/>
        <w:ind w:start="-720" w:end="-720"/>
        <w:jc w:val="both"/>
        <w:rPr>
          <w:rFonts w:ascii="Courier New" w:hAnsi="Courier New" w:cs="Courier New"/>
          <w:spacing w:val="-2"/>
        </w:rPr>
      </w:pPr>
      <w:r>
        <w:rPr>
          <w:rFonts w:cs="Courier New" w:ascii="Courier New" w:hAnsi="Courier New"/>
          <w:spacing w:val="-2"/>
        </w:rPr>
      </w:r>
    </w:p>
    <w:p>
      <w:pPr>
        <w:pStyle w:val="Normal"/>
        <w:tabs>
          <w:tab w:val="clear" w:pos="720"/>
          <w:tab w:val="left" w:pos="360" w:leader="none"/>
          <w:tab w:val="left" w:pos="3120" w:leader="none"/>
          <w:tab w:val="left" w:pos="5880" w:leader="none"/>
          <w:tab w:val="center" w:pos="7080" w:leader="none"/>
        </w:tabs>
        <w:suppressAutoHyphens w:val="true"/>
        <w:ind w:start="-720" w:end="-720"/>
        <w:jc w:val="both"/>
        <w:rPr>
          <w:rFonts w:ascii="Courier New" w:hAnsi="Courier New" w:cs="Courier New"/>
          <w:spacing w:val="-2"/>
        </w:rPr>
      </w:pPr>
      <w:r>
        <w:rPr>
          <w:rFonts w:cs="Courier New" w:ascii="Courier New" w:hAnsi="Courier New"/>
          <w:spacing w:val="-2"/>
        </w:rPr>
      </w:r>
    </w:p>
    <w:p>
      <w:pPr>
        <w:pStyle w:val="Normal"/>
        <w:tabs>
          <w:tab w:val="clear" w:pos="720"/>
          <w:tab w:val="left" w:pos="360" w:leader="none"/>
          <w:tab w:val="left" w:pos="3120" w:leader="none"/>
          <w:tab w:val="left" w:pos="5880" w:leader="none"/>
          <w:tab w:val="center" w:pos="7080" w:leader="none"/>
        </w:tabs>
        <w:suppressAutoHyphens w:val="true"/>
        <w:ind w:start="-720" w:end="-720"/>
        <w:jc w:val="both"/>
        <w:rPr>
          <w:rFonts w:ascii="Courier New" w:hAnsi="Courier New" w:cs="Courier New"/>
          <w:spacing w:val="-2"/>
        </w:rPr>
      </w:pPr>
      <w:r>
        <w:rPr>
          <w:rFonts w:cs="Courier New" w:ascii="Courier New" w:hAnsi="Courier New"/>
          <w:spacing w:val="-2"/>
        </w:rPr>
      </w:r>
    </w:p>
    <w:p>
      <w:pPr>
        <w:pStyle w:val="Normal"/>
        <w:tabs>
          <w:tab w:val="clear" w:pos="720"/>
          <w:tab w:val="left" w:pos="360" w:leader="none"/>
          <w:tab w:val="left" w:pos="3120" w:leader="none"/>
          <w:tab w:val="left" w:pos="5880" w:leader="none"/>
          <w:tab w:val="center" w:pos="7080" w:leader="none"/>
        </w:tabs>
        <w:suppressAutoHyphens w:val="true"/>
        <w:ind w:start="-720" w:end="-720"/>
        <w:jc w:val="both"/>
        <w:rPr>
          <w:rFonts w:ascii="Courier New" w:hAnsi="Courier New" w:cs="Courier New"/>
          <w:spacing w:val="-2"/>
        </w:rPr>
      </w:pPr>
      <w:r>
        <w:rPr>
          <w:rFonts w:cs="Courier New" w:ascii="Courier New" w:hAnsi="Courier New"/>
          <w:spacing w:val="-2"/>
        </w:rPr>
      </w:r>
    </w:p>
    <w:p>
      <w:pPr>
        <w:pStyle w:val="Normal"/>
        <w:tabs>
          <w:tab w:val="clear" w:pos="720"/>
          <w:tab w:val="left" w:pos="360" w:leader="none"/>
          <w:tab w:val="left" w:pos="3120" w:leader="none"/>
          <w:tab w:val="left" w:pos="5880" w:leader="none"/>
          <w:tab w:val="center" w:pos="7080" w:leader="none"/>
        </w:tabs>
        <w:suppressAutoHyphens w:val="true"/>
        <w:ind w:start="-720" w:end="-720"/>
        <w:jc w:val="both"/>
        <w:rPr>
          <w:rFonts w:ascii="Courier New" w:hAnsi="Courier New" w:cs="Courier New"/>
          <w:spacing w:val="-2"/>
        </w:rPr>
      </w:pPr>
      <w:r>
        <w:rPr>
          <w:rFonts w:cs="Courier New" w:ascii="Courier New" w:hAnsi="Courier New"/>
          <w:spacing w:val="-2"/>
        </w:rPr>
      </w:r>
    </w:p>
    <w:p>
      <w:pPr>
        <w:pStyle w:val="Normal"/>
        <w:tabs>
          <w:tab w:val="clear" w:pos="720"/>
          <w:tab w:val="left" w:pos="360" w:leader="none"/>
          <w:tab w:val="left" w:pos="3120" w:leader="none"/>
          <w:tab w:val="left" w:pos="5880" w:leader="none"/>
          <w:tab w:val="center" w:pos="7080" w:leader="none"/>
        </w:tabs>
        <w:suppressAutoHyphens w:val="true"/>
        <w:ind w:start="-720" w:end="-720"/>
        <w:jc w:val="both"/>
        <w:rPr>
          <w:rFonts w:ascii="Courier New" w:hAnsi="Courier New" w:cs="Courier New"/>
          <w:spacing w:val="-2"/>
        </w:rPr>
      </w:pPr>
      <w:r>
        <w:rPr>
          <w:rFonts w:cs="Courier New" w:ascii="Courier New" w:hAnsi="Courier New"/>
          <w:spacing w:val="-2"/>
        </w:rPr>
      </w:r>
    </w:p>
    <w:p>
      <w:pPr>
        <w:pStyle w:val="Normal"/>
        <w:tabs>
          <w:tab w:val="clear" w:pos="720"/>
          <w:tab w:val="left" w:pos="360" w:leader="none"/>
          <w:tab w:val="left" w:pos="3120" w:leader="none"/>
          <w:tab w:val="left" w:pos="5880" w:leader="none"/>
          <w:tab w:val="center" w:pos="7080" w:leader="none"/>
        </w:tabs>
        <w:suppressAutoHyphens w:val="true"/>
        <w:ind w:start="-720" w:end="-720"/>
        <w:jc w:val="both"/>
        <w:rPr>
          <w:rFonts w:ascii="Courier New" w:hAnsi="Courier New" w:cs="Courier New"/>
          <w:spacing w:val="-2"/>
        </w:rPr>
      </w:pPr>
      <w:r>
        <w:rPr>
          <w:rFonts w:cs="Courier New" w:ascii="Courier New" w:hAnsi="Courier New"/>
          <w:spacing w:val="-2"/>
        </w:rPr>
      </w:r>
    </w:p>
    <w:p>
      <w:pPr>
        <w:pStyle w:val="Normal"/>
        <w:tabs>
          <w:tab w:val="clear" w:pos="720"/>
          <w:tab w:val="left" w:pos="360" w:leader="none"/>
          <w:tab w:val="left" w:pos="3120" w:leader="none"/>
          <w:tab w:val="left" w:pos="5880" w:leader="none"/>
          <w:tab w:val="center" w:pos="7080" w:leader="none"/>
        </w:tabs>
        <w:suppressAutoHyphens w:val="true"/>
        <w:ind w:start="-720" w:end="-720"/>
        <w:jc w:val="both"/>
        <w:rPr>
          <w:rFonts w:ascii="Courier New" w:hAnsi="Courier New" w:cs="Courier New"/>
          <w:spacing w:val="-2"/>
        </w:rPr>
      </w:pPr>
      <w:r>
        <w:rPr>
          <w:rFonts w:cs="Courier New" w:ascii="Courier New" w:hAnsi="Courier New"/>
          <w:spacing w:val="-2"/>
        </w:rPr>
      </w:r>
    </w:p>
    <w:p>
      <w:pPr>
        <w:pStyle w:val="Normal"/>
        <w:tabs>
          <w:tab w:val="clear" w:pos="720"/>
          <w:tab w:val="left" w:pos="3120" w:leader="none"/>
          <w:tab w:val="left" w:pos="5880" w:leader="none"/>
          <w:tab w:val="center" w:pos="7080" w:leader="none"/>
        </w:tabs>
        <w:suppressAutoHyphens w:val="true"/>
        <w:ind w:firstLine="720" w:end="-720"/>
        <w:jc w:val="both"/>
        <w:rPr>
          <w:rFonts w:ascii="Courier New" w:hAnsi="Courier New" w:cs="Courier New"/>
          <w:spacing w:val="-2"/>
        </w:rPr>
      </w:pPr>
      <w:r>
        <w:rPr>
          <w:rFonts w:cs="Courier New" w:ascii="Courier New" w:hAnsi="Courier New"/>
          <w:spacing w:val="-2"/>
          <w:u w:val="single"/>
        </w:rPr>
        <w:t>Acreage</w:t>
      </w:r>
    </w:p>
    <w:p>
      <w:pPr>
        <w:pStyle w:val="Normal"/>
        <w:tabs>
          <w:tab w:val="clear" w:pos="720"/>
          <w:tab w:val="left" w:pos="360" w:leader="none"/>
          <w:tab w:val="left" w:pos="3120" w:leader="none"/>
          <w:tab w:val="left" w:pos="5880" w:leader="none"/>
          <w:tab w:val="center" w:pos="7080" w:leader="none"/>
        </w:tabs>
        <w:suppressAutoHyphens w:val="true"/>
        <w:ind w:end="-720"/>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3120" w:leader="none"/>
          <w:tab w:val="left" w:pos="5880" w:leader="none"/>
          <w:tab w:val="center" w:pos="7080" w:leader="none"/>
        </w:tabs>
        <w:suppressAutoHyphens w:val="true"/>
        <w:jc w:val="both"/>
        <w:rPr>
          <w:rFonts w:ascii="Courier New" w:hAnsi="Courier New" w:cs="Courier New"/>
          <w:spacing w:val="-2"/>
        </w:rPr>
      </w:pPr>
      <w:r>
        <w:rPr>
          <w:rFonts w:cs="Courier New" w:ascii="Courier New" w:hAnsi="Courier New"/>
          <w:spacing w:val="-2"/>
        </w:rPr>
        <w:tab/>
        <w:t>The following table summarizes Enron's developed and undeveloped acreage at December 31, 1999.  Excluded is acreage in which Enron's interest is limited to owned royalty, overriding royalty and other similar interests.</w:t>
      </w:r>
    </w:p>
    <w:p>
      <w:pPr>
        <w:pStyle w:val="Normal"/>
        <w:tabs>
          <w:tab w:val="clear" w:pos="720"/>
          <w:tab w:val="left" w:pos="360" w:leader="none"/>
          <w:tab w:val="left" w:pos="3120" w:leader="none"/>
          <w:tab w:val="left" w:pos="5880" w:leader="none"/>
          <w:tab w:val="center" w:pos="7080" w:leader="none"/>
        </w:tabs>
        <w:suppressAutoHyphens w:val="true"/>
        <w:ind w:start="-720" w:end="-720"/>
        <w:jc w:val="both"/>
        <w:rPr>
          <w:rFonts w:ascii="Courier New" w:hAnsi="Courier New" w:cs="Courier New"/>
          <w:spacing w:val="-2"/>
        </w:rPr>
      </w:pPr>
      <w:r>
        <w:rPr>
          <w:rFonts w:cs="Courier New" w:ascii="Courier New" w:hAnsi="Courier New"/>
          <w:spacing w:val="-2"/>
        </w:rPr>
      </w:r>
    </w:p>
    <w:p>
      <w:pPr>
        <w:pStyle w:val="Normal"/>
        <w:tabs>
          <w:tab w:val="clear" w:pos="720"/>
          <w:tab w:val="left" w:pos="360" w:leader="none"/>
          <w:tab w:val="left" w:pos="3120" w:leader="none"/>
          <w:tab w:val="left" w:pos="5880" w:leader="none"/>
          <w:tab w:val="center" w:pos="7080" w:leader="none"/>
          <w:tab w:val="left" w:pos="10710" w:leader="none"/>
        </w:tabs>
        <w:suppressAutoHyphens w:val="true"/>
        <w:ind w:start="-720" w:end="-720"/>
        <w:jc w:val="both"/>
        <w:rPr>
          <w:rFonts w:ascii="Courier New" w:hAnsi="Courier New" w:cs="Courier New"/>
          <w:spacing w:val="-2"/>
        </w:rPr>
      </w:pPr>
      <w:r>
        <w:rPr>
          <w:rFonts w:cs="Courier New" w:ascii="Courier New" w:hAnsi="Courier New"/>
          <w:spacing w:val="-2"/>
        </w:rPr>
      </w:r>
    </w:p>
    <w:p>
      <w:pPr>
        <w:pStyle w:val="Normal"/>
        <w:tabs>
          <w:tab w:val="clear" w:pos="720"/>
          <w:tab w:val="center" w:pos="0" w:leader="none"/>
          <w:tab w:val="left" w:pos="360" w:leader="none"/>
          <w:tab w:val="left" w:pos="1980" w:leader="none"/>
          <w:tab w:val="left" w:pos="5040" w:leader="none"/>
          <w:tab w:val="left" w:pos="8100" w:leader="none"/>
          <w:tab w:val="right" w:pos="9270" w:leader="none"/>
          <w:tab w:val="right" w:pos="9900" w:leader="none"/>
          <w:tab w:val="left" w:pos="10710" w:leader="none"/>
        </w:tabs>
        <w:suppressAutoHyphens w:val="true"/>
        <w:ind w:start="-720" w:end="-720"/>
        <w:jc w:val="both"/>
        <w:rPr>
          <w:rFonts w:ascii="Courier New" w:hAnsi="Courier New" w:cs="Courier New"/>
          <w:spacing w:val="-2"/>
        </w:rPr>
      </w:pPr>
      <w:r>
        <w:rPr>
          <w:rFonts w:cs="Courier New" w:ascii="Courier New" w:hAnsi="Courier New"/>
          <w:spacing w:val="-2"/>
        </w:rPr>
        <w:tab/>
        <w:t xml:space="preserve">                    </w:t>
      </w:r>
      <w:r>
        <w:rPr>
          <w:rFonts w:cs="Courier New" w:ascii="Courier New" w:hAnsi="Courier New"/>
          <w:spacing w:val="-2"/>
          <w:u w:val="single"/>
        </w:rPr>
        <w:t xml:space="preserve">     Developed       </w:t>
      </w:r>
      <w:r>
        <w:rPr>
          <w:rFonts w:cs="Courier New" w:ascii="Courier New" w:hAnsi="Courier New"/>
          <w:spacing w:val="-2"/>
        </w:rPr>
        <w:t xml:space="preserve">      </w:t>
      </w:r>
      <w:r>
        <w:rPr>
          <w:rFonts w:cs="Courier New" w:ascii="Courier New" w:hAnsi="Courier New"/>
          <w:spacing w:val="-2"/>
          <w:u w:val="single"/>
        </w:rPr>
        <w:t xml:space="preserve">      Undeveloped     </w:t>
      </w:r>
      <w:r>
        <w:rPr>
          <w:rFonts w:cs="Courier New" w:ascii="Courier New" w:hAnsi="Courier New"/>
          <w:spacing w:val="-2"/>
        </w:rPr>
        <w:t xml:space="preserve">   </w:t>
      </w:r>
      <w:r>
        <w:rPr>
          <w:rFonts w:cs="Courier New" w:ascii="Courier New" w:hAnsi="Courier New"/>
          <w:spacing w:val="-2"/>
          <w:u w:val="single"/>
        </w:rPr>
        <w:t xml:space="preserve">       Total</w:t>
        <w:tab/>
        <w:tab/>
      </w:r>
    </w:p>
    <w:p>
      <w:pPr>
        <w:pStyle w:val="Normal"/>
        <w:tabs>
          <w:tab w:val="clear" w:pos="720"/>
          <w:tab w:val="center" w:pos="0" w:leader="none"/>
          <w:tab w:val="left" w:pos="360" w:leader="none"/>
          <w:tab w:val="left" w:pos="1980" w:leader="none"/>
          <w:tab w:val="left" w:pos="3510" w:leader="none"/>
          <w:tab w:val="left" w:pos="5040" w:leader="none"/>
          <w:tab w:val="left" w:pos="6570" w:leader="none"/>
          <w:tab w:val="left" w:pos="7920" w:leader="none"/>
          <w:tab w:val="left" w:pos="9270" w:leader="none"/>
          <w:tab w:val="left" w:pos="10710" w:leader="none"/>
        </w:tabs>
        <w:suppressAutoHyphens w:val="true"/>
        <w:ind w:start="-720" w:end="-720"/>
        <w:jc w:val="both"/>
        <w:rPr/>
      </w:pPr>
      <w:r>
        <w:rPr>
          <w:rFonts w:cs="Courier New" w:ascii="Courier New" w:hAnsi="Courier New"/>
          <w:spacing w:val="-2"/>
        </w:rPr>
        <w:tab/>
        <w:t xml:space="preserve">                      </w:t>
      </w:r>
      <w:r>
        <w:rPr>
          <w:rFonts w:cs="Courier New" w:ascii="Courier New" w:hAnsi="Courier New"/>
          <w:spacing w:val="-2"/>
          <w:u w:val="single"/>
        </w:rPr>
        <w:t>Gross</w:t>
      </w:r>
      <w:r>
        <w:rPr>
          <w:rFonts w:cs="Courier New" w:ascii="Courier New" w:hAnsi="Courier New"/>
          <w:spacing w:val="-2"/>
        </w:rPr>
        <w:tab/>
      </w:r>
      <w:r>
        <w:rPr>
          <w:rFonts w:cs="Courier New" w:ascii="Courier New" w:hAnsi="Courier New"/>
          <w:spacing w:val="-2"/>
          <w:u w:val="single"/>
        </w:rPr>
        <w:t xml:space="preserve"> Net </w:t>
      </w:r>
      <w:r>
        <w:rPr>
          <w:rFonts w:cs="Courier New" w:ascii="Courier New" w:hAnsi="Courier New"/>
          <w:spacing w:val="-2"/>
        </w:rPr>
        <w:tab/>
      </w:r>
      <w:r>
        <w:rPr>
          <w:rFonts w:cs="Courier New" w:ascii="Courier New" w:hAnsi="Courier New"/>
          <w:spacing w:val="-2"/>
          <w:u w:val="single"/>
        </w:rPr>
        <w:t>Gross</w:t>
      </w:r>
      <w:r>
        <w:rPr>
          <w:rFonts w:cs="Courier New" w:ascii="Courier New" w:hAnsi="Courier New"/>
          <w:spacing w:val="-2"/>
        </w:rPr>
        <w:tab/>
      </w:r>
      <w:r>
        <w:rPr>
          <w:rFonts w:cs="Courier New" w:ascii="Courier New" w:hAnsi="Courier New"/>
          <w:spacing w:val="-2"/>
          <w:u w:val="single"/>
        </w:rPr>
        <w:t xml:space="preserve"> Net </w:t>
      </w:r>
      <w:r>
        <w:rPr>
          <w:rFonts w:cs="Courier New" w:ascii="Courier New" w:hAnsi="Courier New"/>
          <w:spacing w:val="-2"/>
        </w:rPr>
        <w:tab/>
      </w:r>
      <w:r>
        <w:rPr>
          <w:rFonts w:cs="Courier New" w:ascii="Courier New" w:hAnsi="Courier New"/>
          <w:spacing w:val="-2"/>
          <w:u w:val="single"/>
        </w:rPr>
        <w:t>Gross</w:t>
      </w:r>
      <w:r>
        <w:rPr>
          <w:rFonts w:cs="Courier New" w:ascii="Courier New" w:hAnsi="Courier New"/>
          <w:spacing w:val="-2"/>
        </w:rPr>
        <w:tab/>
      </w:r>
      <w:r>
        <w:rPr>
          <w:rFonts w:cs="Courier New" w:ascii="Courier New" w:hAnsi="Courier New"/>
          <w:spacing w:val="-2"/>
          <w:u w:val="single"/>
        </w:rPr>
        <w:t xml:space="preserve"> Net </w:t>
      </w:r>
      <w:r>
        <w:rPr>
          <w:rFonts w:cs="Courier New" w:ascii="Courier New" w:hAnsi="Courier New"/>
          <w:spacing w:val="-2"/>
        </w:rPr>
        <w:t xml:space="preserve"> </w:t>
      </w:r>
    </w:p>
    <w:p>
      <w:pPr>
        <w:pStyle w:val="Normal"/>
        <w:tabs>
          <w:tab w:val="clear" w:pos="720"/>
          <w:tab w:val="center" w:pos="0" w:leader="none"/>
          <w:tab w:val="left" w:pos="360" w:leader="none"/>
          <w:tab w:val="left" w:pos="1980" w:leader="none"/>
          <w:tab w:val="left" w:pos="3510" w:leader="none"/>
          <w:tab w:val="left" w:pos="5040" w:leader="none"/>
          <w:tab w:val="left" w:pos="6570" w:leader="none"/>
          <w:tab w:val="left" w:pos="7920" w:leader="none"/>
          <w:tab w:val="left" w:pos="9270" w:leader="none"/>
          <w:tab w:val="left" w:pos="10710" w:leader="none"/>
        </w:tabs>
        <w:suppressAutoHyphens w:val="true"/>
        <w:ind w:start="-720" w:end="-720"/>
        <w:jc w:val="both"/>
        <w:rPr>
          <w:rFonts w:ascii="Courier New" w:hAnsi="Courier New" w:cs="Courier New"/>
          <w:spacing w:val="-2"/>
        </w:rPr>
      </w:pPr>
      <w:r>
        <w:rPr>
          <w:rFonts w:cs="Courier New" w:ascii="Courier New" w:hAnsi="Courier New"/>
          <w:spacing w:val="-2"/>
        </w:rPr>
      </w:r>
    </w:p>
    <w:p>
      <w:pPr>
        <w:pStyle w:val="Normal"/>
        <w:tabs>
          <w:tab w:val="clear" w:pos="720"/>
          <w:tab w:val="left" w:pos="-1350" w:leader="none"/>
          <w:tab w:val="center" w:pos="0" w:leader="none"/>
          <w:tab w:val="left" w:pos="1440" w:leader="dot"/>
          <w:tab w:val="left" w:pos="1530" w:leader="none"/>
          <w:tab w:val="right" w:pos="2610" w:leader="none"/>
          <w:tab w:val="right" w:pos="4140" w:leader="none"/>
          <w:tab w:val="right" w:pos="5670" w:leader="none"/>
          <w:tab w:val="right" w:pos="7290" w:leader="none"/>
          <w:tab w:val="right" w:pos="8640" w:leader="none"/>
          <w:tab w:val="right" w:pos="9900" w:leader="none"/>
          <w:tab w:val="left" w:pos="10710" w:leader="none"/>
        </w:tabs>
        <w:suppressAutoHyphens w:val="true"/>
        <w:ind w:start="-720" w:end="-720"/>
        <w:jc w:val="both"/>
        <w:rPr>
          <w:rFonts w:ascii="Courier New" w:hAnsi="Courier New" w:cs="Courier New"/>
          <w:spacing w:val="-2"/>
        </w:rPr>
      </w:pPr>
      <w:r>
        <w:rPr>
          <w:rFonts w:cs="Courier New" w:ascii="Courier New" w:hAnsi="Courier New"/>
          <w:spacing w:val="-2"/>
        </w:rPr>
        <w:t>China</w:t>
        <w:tab/>
        <w:tab/>
        <w:tab/>
        <w:t xml:space="preserve">    5,000        2,500</w:t>
        <w:tab/>
        <w:tab/>
        <w:t>1,844,531</w:t>
        <w:tab/>
        <w:t>922,266</w:t>
        <w:tab/>
        <w:t>1,849,531</w:t>
        <w:tab/>
        <w:t>924,766</w:t>
      </w:r>
    </w:p>
    <w:p>
      <w:pPr>
        <w:pStyle w:val="Normal"/>
        <w:tabs>
          <w:tab w:val="clear" w:pos="720"/>
          <w:tab w:val="left" w:pos="-1350" w:leader="none"/>
          <w:tab w:val="center" w:pos="0" w:leader="none"/>
          <w:tab w:val="left" w:pos="1440" w:leader="dot"/>
          <w:tab w:val="left" w:pos="1530" w:leader="none"/>
          <w:tab w:val="right" w:pos="2610" w:leader="none"/>
          <w:tab w:val="right" w:pos="4140" w:leader="none"/>
          <w:tab w:val="right" w:pos="5670" w:leader="none"/>
          <w:tab w:val="right" w:pos="7290" w:leader="none"/>
          <w:tab w:val="right" w:pos="8640" w:leader="none"/>
          <w:tab w:val="right" w:pos="9900" w:leader="none"/>
          <w:tab w:val="left" w:pos="10710" w:leader="none"/>
        </w:tabs>
        <w:suppressAutoHyphens w:val="true"/>
        <w:ind w:start="-720" w:end="-720"/>
        <w:jc w:val="both"/>
        <w:rPr>
          <w:rFonts w:ascii="Courier New" w:hAnsi="Courier New" w:cs="Courier New"/>
          <w:spacing w:val="-2"/>
        </w:rPr>
      </w:pPr>
      <w:r>
        <w:rPr>
          <w:rFonts w:cs="Courier New" w:ascii="Courier New" w:hAnsi="Courier New"/>
          <w:spacing w:val="-2"/>
        </w:rPr>
        <w:t>India</w:t>
        <w:tab/>
        <w:tab/>
        <w:tab/>
        <w:tab/>
        <w:t>98,300</w:t>
        <w:tab/>
        <w:t>29,490</w:t>
        <w:tab/>
        <w:t>564,307</w:t>
        <w:tab/>
        <w:t>169,292</w:t>
        <w:tab/>
        <w:t>662,607</w:t>
        <w:tab/>
        <w:t>198,782</w:t>
      </w:r>
    </w:p>
    <w:p>
      <w:pPr>
        <w:pStyle w:val="Normal"/>
        <w:tabs>
          <w:tab w:val="clear" w:pos="720"/>
          <w:tab w:val="left" w:pos="-1350" w:leader="none"/>
          <w:tab w:val="center" w:pos="0" w:leader="none"/>
          <w:tab w:val="left" w:pos="1440" w:leader="dot"/>
          <w:tab w:val="left" w:pos="1530" w:leader="none"/>
          <w:tab w:val="right" w:pos="2610" w:leader="none"/>
          <w:tab w:val="right" w:pos="4140" w:leader="none"/>
          <w:tab w:val="right" w:pos="5670" w:leader="none"/>
          <w:tab w:val="right" w:pos="7290" w:leader="none"/>
          <w:tab w:val="right" w:pos="8640" w:leader="none"/>
          <w:tab w:val="right" w:pos="9900" w:leader="none"/>
          <w:tab w:val="left" w:pos="10710" w:leader="none"/>
        </w:tabs>
        <w:suppressAutoHyphens w:val="true"/>
        <w:ind w:start="-720" w:end="-720"/>
        <w:jc w:val="both"/>
        <w:rPr>
          <w:rFonts w:ascii="Courier New" w:hAnsi="Courier New" w:cs="Courier New"/>
          <w:spacing w:val="-2"/>
        </w:rPr>
      </w:pPr>
      <w:r>
        <w:rPr>
          <w:rFonts w:cs="Courier New" w:ascii="Courier New" w:hAnsi="Courier New"/>
          <w:spacing w:val="-2"/>
        </w:rPr>
        <w:tab/>
        <w:t>Total</w:t>
        <w:tab/>
        <w:tab/>
        <w:tab/>
      </w:r>
      <w:r>
        <w:rPr>
          <w:rFonts w:cs="Courier New" w:ascii="Courier New" w:hAnsi="Courier New"/>
          <w:spacing w:val="-2"/>
          <w:u w:val="double"/>
        </w:rPr>
        <w:t>2,134,317</w:t>
      </w:r>
      <w:r>
        <w:rPr>
          <w:rFonts w:cs="Courier New" w:ascii="Courier New" w:hAnsi="Courier New"/>
          <w:spacing w:val="-2"/>
        </w:rPr>
        <w:tab/>
        <w:t xml:space="preserve"> </w:t>
      </w:r>
      <w:r>
        <w:rPr>
          <w:rFonts w:cs="Courier New" w:ascii="Courier New" w:hAnsi="Courier New"/>
          <w:spacing w:val="-2"/>
          <w:u w:val="double"/>
        </w:rPr>
        <w:t xml:space="preserve"> 1,224,856</w:t>
      </w:r>
      <w:r>
        <w:rPr>
          <w:rFonts w:cs="Courier New" w:ascii="Courier New" w:hAnsi="Courier New"/>
          <w:spacing w:val="-2"/>
        </w:rPr>
        <w:tab/>
      </w:r>
      <w:r>
        <w:rPr>
          <w:rFonts w:cs="Courier New" w:ascii="Courier New" w:hAnsi="Courier New"/>
          <w:spacing w:val="-2"/>
          <w:u w:val="double"/>
        </w:rPr>
        <w:t>6,506,130</w:t>
      </w:r>
      <w:r>
        <w:rPr>
          <w:rFonts w:cs="Courier New" w:ascii="Courier New" w:hAnsi="Courier New"/>
          <w:spacing w:val="-2"/>
        </w:rPr>
        <w:tab/>
      </w:r>
      <w:r>
        <w:rPr>
          <w:rFonts w:cs="Courier New" w:ascii="Courier New" w:hAnsi="Courier New"/>
          <w:spacing w:val="-2"/>
          <w:u w:val="double"/>
        </w:rPr>
        <w:t>4,481,167</w:t>
      </w:r>
      <w:r>
        <w:rPr>
          <w:rFonts w:cs="Courier New" w:ascii="Courier New" w:hAnsi="Courier New"/>
          <w:spacing w:val="-2"/>
        </w:rPr>
        <w:tab/>
      </w:r>
      <w:r>
        <w:rPr>
          <w:rFonts w:cs="Courier New" w:ascii="Courier New" w:hAnsi="Courier New"/>
          <w:spacing w:val="-2"/>
          <w:u w:val="double"/>
        </w:rPr>
        <w:t>8,640,447</w:t>
      </w:r>
      <w:r>
        <w:rPr>
          <w:rFonts w:cs="Courier New" w:ascii="Courier New" w:hAnsi="Courier New"/>
          <w:spacing w:val="-2"/>
        </w:rPr>
        <w:tab/>
      </w:r>
      <w:r>
        <w:rPr>
          <w:rFonts w:cs="Courier New" w:ascii="Courier New" w:hAnsi="Courier New"/>
          <w:spacing w:val="-2"/>
          <w:u w:val="double"/>
        </w:rPr>
        <w:t>5,706,023</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right" w:pos="9960" w:leader="none"/>
        </w:tabs>
        <w:suppressAutoHyphens w:val="true"/>
        <w:ind w:hanging="360" w:start="360" w:end="120"/>
        <w:jc w:val="both"/>
        <w:rPr>
          <w:rFonts w:ascii="Courier New" w:hAnsi="Courier New" w:cs="Courier New"/>
          <w:spacing w:val="-2"/>
        </w:rPr>
      </w:pPr>
      <w:r>
        <w:rPr>
          <w:rFonts w:cs="Courier New" w:ascii="Courier New" w:hAnsi="Courier New"/>
          <w:b/>
          <w:spacing w:val="-2"/>
        </w:rPr>
        <w:t>Item 3.  LEGAL PROCEEDINGS</w:t>
      </w:r>
    </w:p>
    <w:p>
      <w:pPr>
        <w:pStyle w:val="Normal"/>
        <w:tabs>
          <w:tab w:val="clear" w:pos="720"/>
          <w:tab w:val="right" w:pos="9960" w:leader="none"/>
        </w:tabs>
        <w:suppressAutoHyphens w:val="true"/>
        <w:ind w:start="360"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tab/>
        <w:t>Enron is a party to various claims and litigation, the significant items of which are discussed below.  Although no assurances can be given, Enron believes, based on its experience to date and after considering appropriate reserves that have been established, that the ultimate resolution of such items, individually or in the aggregate, will not have a materially adverse impact on Enron's financial position or its results of operations.</w:t>
      </w:r>
    </w:p>
    <w:p>
      <w:pPr>
        <w:pStyle w:val="Normal"/>
        <w:tabs>
          <w:tab w:val="clear" w:pos="720"/>
          <w:tab w:val="right" w:pos="9960" w:leader="none"/>
        </w:tabs>
        <w:suppressAutoHyphens w:val="true"/>
        <w:ind w:start="360" w:end="120"/>
        <w:jc w:val="both"/>
        <w:rPr>
          <w:rFonts w:ascii="Courier New" w:hAnsi="Courier New" w:cs="Courier New"/>
          <w:spacing w:val="-2"/>
        </w:rPr>
      </w:pPr>
      <w:r>
        <w:rPr>
          <w:rFonts w:cs="Courier New" w:ascii="Courier New" w:hAnsi="Courier New"/>
          <w:spacing w:val="-2"/>
        </w:rPr>
      </w:r>
    </w:p>
    <w:p>
      <w:pPr>
        <w:pStyle w:val="Normal"/>
        <w:tabs>
          <w:tab w:val="clear" w:pos="720"/>
          <w:tab w:val="left" w:pos="540" w:leader="none"/>
        </w:tabs>
        <w:jc w:val="both"/>
        <w:rPr/>
      </w:pPr>
      <w:r>
        <w:rPr>
          <w:rFonts w:cs="Courier New" w:ascii="Courier New" w:hAnsi="Courier New"/>
          <w:b/>
        </w:rPr>
        <w:tab/>
        <w:tab/>
        <w:t>Litigation.</w:t>
      </w:r>
      <w:r>
        <w:rPr>
          <w:rFonts w:cs="Courier New" w:ascii="Courier New" w:hAnsi="Courier New"/>
        </w:rPr>
        <w:t xml:space="preserve">  In 1995, several parties (the Plaintiffs) filed suit in Harris County District Court in Houston, Texas, against Intratex Gas Company (Intratex), Houston Pipe Line Company and Panhandle Gas Company (collectively, the Enron Defendants), each of which is a wholly-owned subsidiary of Enron.  The Plaintiffs were either sellers or royalty owners under numerous gas purchase contracts with Intratex, many of which have terminated.  Early in 1996, the case was severed by the Court into two matters to be tried (or otherwise resolved) separately.  In the first matter, the Plaintiffs alleged that the Enron Defendants committed fraud and negligent misrepresentation in connection with the “Panhandle program,” a special marketing program established in the early 1980s.  This case was tried in October 1996 and resulted in a verdict for the Enron Defendants.  In the second matter, the Plaintiffs allege that the Enron Defendants violated state regulatory requirements and certain gas purchase contracts by failing to take the Plaintiffs’ gas ratably with other producers’ gas at certain times between 1978 and 1988.  The trial court has certified a class action with respect to ratability claims.  On April 30, 1999, the Texas Supreme Court granted Enron’s petition for review and agreed to consider Enron’s appeal of the class certification.  The Enron Defendants deny the Plaintiffs’ claims and have asserted various affirmative defenses, including the statute of limitations.  The Enron Defendants believe that they have strong legal and factual defenses, and intend to vigorously contest the claims.  Although no assurances can be given, Enron believes that the ultimate resolution of these matters will not have a materially adverse effect on its financial position or results of operations.</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jc w:val="both"/>
        <w:rPr>
          <w:rFonts w:ascii="Courier New" w:hAnsi="Courier New" w:cs="Courier New"/>
        </w:rPr>
      </w:pPr>
      <w:r>
        <w:rPr>
          <w:rFonts w:cs="Courier New" w:ascii="Courier New" w:hAnsi="Courier New"/>
        </w:rPr>
        <w:tab/>
        <w:tab/>
        <w:t>On November 21, 1996, an explosion occurred in or around the Humerto Vidal Building in San Juan, Puerto Rico.  The explosion resulted in fatalities, bodily injuries and damage to the building and surrounding property.  San Juan Gas Company, Inc. (San Juan), an Enron subsidiary, operated a propane/air distribution system in the vicinity.  Although San Juan did not provide service to the building, the National Transportation Safety Board (NTSB) concluded that the probable cause of the incident was propane leaking from San Juan’s distribution system.  San Juan and Enron strongly disagree.  The NTSB found no path of migration of propane from San Juan’s system to the building and no forensic evidence that propane fueled the explosion.  Enron, San Juan, and four San Juan affiliates have been named, along with several third parties, as defendants in numerous lawsuits filed in U.S. District Court for the district of Puerto Rico and the Superior Court of Puerto Rico.  These suits, which seek damages for wrongful death, personal injury, business interruption and property damage, allege that negligence of Enron, San Juan and its affiliates, among others, caused the explosion.  Enron, San Juan and its affiliates are vigorously contesting the claims.  Although no assurances can be given, Enron believes that the ultimate resolution of these matters will not have a materially adverse effect on its financial position or results of operations.</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jc w:val="both"/>
        <w:rPr/>
      </w:pPr>
      <w:r>
        <w:rPr>
          <w:rFonts w:cs="Courier New" w:ascii="Courier New" w:hAnsi="Courier New"/>
        </w:rPr>
        <w:tab/>
        <w:tab/>
      </w:r>
      <w:r>
        <w:rPr>
          <w:rFonts w:cs="Courier New" w:ascii="Courier New" w:hAnsi="Courier New"/>
          <w:b/>
        </w:rPr>
        <w:t>Trojan Investment Recovery.</w:t>
      </w:r>
      <w:r>
        <w:rPr>
          <w:rFonts w:cs="Courier New" w:ascii="Courier New" w:hAnsi="Courier New"/>
        </w:rPr>
        <w:t xml:space="preserve">  In early 1993, PGE ceased commercial operation of Trojan.  In April 1996 a circuit court judge in Marion County, Oregon found that the OPUC could not authorize PGE to collect a return on its undepreciated investment in Trojan, contradicting a November 1994 ruling from the same court.  The ruling was the result of an appeal of PGE’s 1995 general rate order which granted PGE recovery of, and a return on, 87% of its remaining investment in Trojan.  The 1994 ruling was appealed to the Oregon Court of Appeals and stayed pending the appeal of the OPUC’s March 1995 order.  Both PGE and the OPUC have separately appealed the April 1996 ruling, which appeals were combined with the appeal of the November 1994 ruling at the Oregon Court of Appeals.  On June 24, 1998, the Court of Appeals of the State of Oregon ruled that the OPUC does not have the authority to allow PGE to recover a rate of return on its undepreciated investment in the Trojan generating facility.  The court upheld the OPUC’s authorization of PGE’s recovery of its undepreciated investment in Trojan.</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jc w:val="both"/>
        <w:rPr>
          <w:rFonts w:ascii="Courier New" w:hAnsi="Courier New" w:cs="Courier New"/>
        </w:rPr>
      </w:pPr>
      <w:r>
        <w:rPr>
          <w:rFonts w:cs="Courier New" w:ascii="Courier New" w:hAnsi="Courier New"/>
        </w:rPr>
        <w:tab/>
        <w:t>PGE and the OPUC each filed a petition for review with the Oregon Supreme Court.  On August 26, 1998, the Utility Reform Project filed a Petition for Review with the Oregon Supreme Court seeking review of that portion of the Oregon Court of Appeals decision relating to PGE’s recovery of its undepreciated investment in Trojan.  On April 29, 1999, the Oregon Supreme Court accepted the petitions for review.  On June 16, 1999, Oregon House Bill 3220 authorizing the OPUC to allow recovery of a return on the undepreciated investment in property retired from service was signed.  One of the effects of the bill is to affirm retroactively the OPUC’s authority to allow PGE’s recovery of a return on its undepreciated investment in the Trojan generating facility.</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jc w:val="both"/>
        <w:rPr>
          <w:rFonts w:ascii="Courier New" w:hAnsi="Courier New" w:cs="Courier New"/>
        </w:rPr>
      </w:pPr>
      <w:r>
        <w:rPr>
          <w:rFonts w:cs="Courier New" w:ascii="Courier New" w:hAnsi="Courier New"/>
        </w:rPr>
        <w:tab/>
        <w:t>Relying on the new legislation, on July 2, 1999, PGE requested the Oregon Supreme Court to vacate the June 24, 1998 adverse ruling of the Oregon Court of Appeals, affirm the validity of the OPUC’s order allowing PGE to recover a return on its undepreciated investment in Trojan and to reverse its decision accepting the Utility Reform Project’s petition for review.  The Utility Reform Project and the Citizens Utility Board, another party to the proceeding, opposed such request and submitted to the Oregon Secretary of State sufficient signatures in support of placing a referendum to negate the new legislation on the November 2000 ballot.  The Oregon Supreme Court has indicated it will defer hearing the matter until after the November 2000 elections.  Enron cannot predict the outcome of these actions.  Additionally, due to uncertainties in the regulatory process, management cannot predict, with certainty, what ultimate rate-making action the OPUC will take regarding PGE’s recovery of a rate of return on its Trojan investment.  Although no assurances can be given, Enron believes that the ultimate resolution of these matters will not have a material adverse effect on its financial position or results of operations.</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720" w:leader="none"/>
          <w:tab w:val="right" w:pos="9960" w:leader="none"/>
        </w:tabs>
        <w:suppressAutoHyphens w:val="true"/>
        <w:ind w:end="120"/>
        <w:jc w:val="both"/>
        <w:rPr/>
      </w:pPr>
      <w:r>
        <w:rPr>
          <w:rFonts w:cs="Courier New" w:ascii="Courier New" w:hAnsi="Courier New"/>
          <w:b/>
        </w:rPr>
        <w:tab/>
        <w:tab/>
        <w:t xml:space="preserve">Environmental Matters.  </w:t>
      </w:r>
      <w:r>
        <w:rPr>
          <w:rFonts w:cs="Courier New" w:ascii="Courier New" w:hAnsi="Courier New"/>
          <w:spacing w:val="-2"/>
        </w:rPr>
        <w:t>Enron is subject to extensive federal, state and local environmental laws and regulations.  These laws and regulations require expenditures in connection with the construction of new facilities, the operation of existing facilities and for remediation at various operating sites.  The implementation of the Clean Air Act Amendments is expected to result in increased operating expenses.  These increased operating expenses are not expected to have a materially adverse effect on Enron's financial position or results of operations.</w:t>
      </w:r>
    </w:p>
    <w:p>
      <w:pPr>
        <w:pStyle w:val="Normal"/>
        <w:tabs>
          <w:tab w:val="clear" w:pos="720"/>
          <w:tab w:val="left" w:pos="540" w:leader="none"/>
        </w:tabs>
        <w:jc w:val="both"/>
        <w:rPr>
          <w:rFonts w:ascii="Courier New" w:hAnsi="Courier New" w:cs="Courier New"/>
          <w:spacing w:val="-2"/>
        </w:rPr>
      </w:pPr>
      <w:r>
        <w:rPr>
          <w:rFonts w:cs="Courier New" w:ascii="Courier New" w:hAnsi="Courier New"/>
          <w:spacing w:val="-2"/>
        </w:rPr>
      </w:r>
    </w:p>
    <w:p>
      <w:pPr>
        <w:pStyle w:val="Normal"/>
        <w:tabs>
          <w:tab w:val="clear" w:pos="720"/>
          <w:tab w:val="left" w:pos="540" w:leader="none"/>
        </w:tabs>
        <w:jc w:val="both"/>
        <w:rPr>
          <w:rFonts w:ascii="Courier New" w:hAnsi="Courier New" w:cs="Courier New"/>
        </w:rPr>
      </w:pPr>
      <w:r>
        <w:rPr>
          <w:rFonts w:cs="Courier New" w:ascii="Courier New" w:hAnsi="Courier New"/>
        </w:rPr>
        <w:tab/>
        <w:tab/>
        <w:t>The EPA has informed Enron that it is a potentially responsible party at the Decorah Former Manufactured Gas Plant Site (the Decorah Site) in Decorah, Iowa, pursuant to the provisions of CERCLA.  The manufactured gas plant in Decorah ceased operations in 1951.  A predecessor company of Enron purchased the Decorah Site in 1963.  Enron’s predecessor did not operate the gas plant and sold the Decorah Site in 1965.  The EPA alleges that hazardous substances were released to the environment during the period in which Enron’s predecessor owned the site, and that Enron’s predecessor assumed the liabilities of the company that operated the plant.  Enron contests these allegations.  To date, the EPA has identified no other potentially responsible parties with respect to this site.  Enron has entered into a consent order with the EPA by which it has agreed, although admitting no liability, to replace affected topsoil and remove impacted subsurface soils in certain areas of the tract where the plant was formerly located.  Enron completed the final removal actions at the site in November 1998, and expects to conclude all remaining site activities in the spring of 1999.  In 1998, Enron’s expenses related to the Decorah Site were $300,000 as compared with $400,000 in 1997.  Enron believes that expenses incurred in connection with this matter will not have a materially adverse effect on its financial position or results of operations.</w:t>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tab/>
        <w:tab/>
        <w:t>By order dated June 27, 1995, the Florida Department of Environmental Protection approved a remedial action plan for the Enron Gas Processing Company Brooker Plant in Bradford County, Florida.  Soil and groundwater at the plant site had been impacted by historical releases of hydrocarbons from the now inactive liquids extraction plant.  Site remedial work commenced in 1996 and is expected to continue for several years at a total cost of approximately $5 million.</w:t>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tab/>
        <w:t>Enron has also received from the EPA an Order issued under CERCLA alleging that Enron and two other parties are responsible for the cost of demolition and proper disposal of two 110-foot towers that apparently had been used in the manufacture of carbon dioxide at a site called the “City Bumper Site” in Cincinnati, Ohio.  The carbon dioxide plant, according to agency documents, was in operation from 1926 to 1966.  Houston Natural Gas Corporation, a predecessor of Enron Corp., merged with Liquid Carbonic Industries (LCI) on January 31, 1969.  Liquid Carbonic Corporation (LCC), a subsidiary of LCI, had title to the site.  Twenty-eight days after the merger, on February 28, 1969, the site was sold to a third party.  In 1984, LCC was sold to an unaffiliated party in a stock sale.  Although Enron does not admit liability with respect to any costs at this site, it agreed to cooperate with the EPA and other potentially responsible parties to undertake the work contemplated by EPA’s Order.  The tower demolition and removal activities were completed in October 1998, and a final project report has been prepared for submission to the EPA.  In 1998, Enron’s expenses related to the City Bumper Site were $600,000.  Enron does not expect to incur material expenditures in connection with this site.</w:t>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tab/>
        <w:t>Enron’s natural gas pipeline companies conduct soil and groundwater remediation of a number of their facilities.  In 1998, these expenses were $1.3 million as compared with $1.7 million in 1997.  Enron does not expect to incur material expenditures in connection with soil and groundwater remediation.</w:t>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tab/>
        <w:t>In addition, Enron has received requests for information from the EPA and state environmental agencies inquiring whether Enron has disposed of materials at other waste disposal sites.  Enron has also received requests for contribution from other parties with respect to the cleanup of other sites.  Enron may be required to share in the costs of the cleanup of some of these sites.  However, based upon the amounts claimed and the nature and volume of materials sent to sites at which Enron has an interest, management does not believe that any potential costs incurred in connection with these notices and third party claims, either taken individually or in the aggregate, will have a material impact on Enron's financial position or results of operations.</w:t>
      </w:r>
    </w:p>
    <w:p>
      <w:pPr>
        <w:pStyle w:val="Normal"/>
        <w:keepNext w:val="true"/>
        <w:keepLines/>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b/>
          <w:spacing w:val="-2"/>
        </w:rPr>
        <w:t>Item 4.  SUBMISSION OF MATTERS TO A VOTE OF SECURITY HOLDERS</w:t>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tab/>
        <w:t>None.</w:t>
      </w:r>
      <w:r>
        <w:br w:type="page"/>
      </w:r>
    </w:p>
    <w:p>
      <w:pPr>
        <w:pStyle w:val="Normal"/>
        <w:tabs>
          <w:tab w:val="left" w:pos="720" w:leader="none"/>
          <w:tab w:val="right" w:pos="9960" w:leader="none"/>
        </w:tabs>
        <w:suppressAutoHyphens w:val="true"/>
        <w:ind w:end="120"/>
        <w:jc w:val="center"/>
        <w:rPr>
          <w:rFonts w:ascii="Courier New" w:hAnsi="Courier New" w:cs="Courier New"/>
          <w:spacing w:val="-2"/>
        </w:rPr>
      </w:pPr>
      <w:r>
        <w:rPr>
          <w:rFonts w:cs="Courier New" w:ascii="Courier New" w:hAnsi="Courier New"/>
          <w:spacing w:val="-2"/>
        </w:rPr>
      </w:r>
    </w:p>
    <w:p>
      <w:pPr>
        <w:pStyle w:val="Normal"/>
        <w:tabs>
          <w:tab w:val="left" w:pos="720" w:leader="none"/>
          <w:tab w:val="right" w:pos="9960" w:leader="none"/>
        </w:tabs>
        <w:suppressAutoHyphens w:val="true"/>
        <w:ind w:end="120"/>
        <w:jc w:val="center"/>
        <w:rPr>
          <w:rFonts w:ascii="Courier New" w:hAnsi="Courier New" w:cs="Courier New"/>
          <w:spacing w:val="-2"/>
        </w:rPr>
      </w:pPr>
      <w:r>
        <w:rPr>
          <w:rFonts w:cs="Courier New" w:ascii="Courier New" w:hAnsi="Courier New"/>
          <w:spacing w:val="-2"/>
        </w:rPr>
      </w:r>
    </w:p>
    <w:p>
      <w:pPr>
        <w:pStyle w:val="Normal"/>
        <w:tabs>
          <w:tab w:val="left" w:pos="720" w:leader="none"/>
          <w:tab w:val="right" w:pos="9960" w:leader="none"/>
        </w:tabs>
        <w:suppressAutoHyphens w:val="true"/>
        <w:ind w:end="120"/>
        <w:jc w:val="center"/>
        <w:rPr>
          <w:rFonts w:ascii="Courier New" w:hAnsi="Courier New" w:cs="Courier New"/>
          <w:spacing w:val="-2"/>
        </w:rPr>
      </w:pPr>
      <w:r>
        <w:rPr>
          <w:rFonts w:cs="Courier New" w:ascii="Courier New" w:hAnsi="Courier New"/>
          <w:spacing w:val="-2"/>
        </w:rPr>
      </w:r>
    </w:p>
    <w:p>
      <w:pPr>
        <w:pStyle w:val="Normal"/>
        <w:tabs>
          <w:tab w:val="left" w:pos="720" w:leader="none"/>
          <w:tab w:val="right" w:pos="9960" w:leader="none"/>
        </w:tabs>
        <w:suppressAutoHyphens w:val="true"/>
        <w:ind w:end="120"/>
        <w:jc w:val="center"/>
        <w:rPr>
          <w:rFonts w:ascii="Courier New" w:hAnsi="Courier New" w:cs="Courier New"/>
          <w:spacing w:val="-2"/>
        </w:rPr>
      </w:pPr>
      <w:r>
        <w:rPr>
          <w:rFonts w:cs="Courier New" w:ascii="Courier New" w:hAnsi="Courier New"/>
          <w:b/>
          <w:spacing w:val="-2"/>
        </w:rPr>
        <w:t>PART II</w:t>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b/>
          <w:spacing w:val="-2"/>
        </w:rPr>
        <w:t>Item 5.  MARKET FOR THE REGISTRANT'S COMMON EQUITY AND RELATED SHAREHOLDER MATTERS</w:t>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b/>
          <w:spacing w:val="-2"/>
          <w:u w:val="single"/>
        </w:rPr>
        <w:t>Common Stock</w:t>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tab/>
        <w:t>The following table indicates the high and low sales prices for the common stock of Enron as reported on the New York Stock Exchange (consolidated transactions reporting system), the principal market in which the securities are traded, and dividends paid per share for the calendar quarters indicated.  The common stock is also listed for trading on the Chicago Stock Exchange and the Pacific Stock Exchange, as well as The London Stock Exchange and Frankfurt Stock Exchange.</w:t>
      </w:r>
    </w:p>
    <w:p>
      <w:pPr>
        <w:pStyle w:val="Normal"/>
        <w:tabs>
          <w:tab w:val="left" w:pos="720" w:leader="none"/>
          <w:tab w:val="left" w:pos="3600" w:leader="none"/>
          <w:tab w:val="center" w:pos="4860" w:leader="none"/>
          <w:tab w:val="left" w:pos="6660" w:leader="none"/>
          <w:tab w:val="left" w:pos="7380" w:leader="none"/>
          <w:tab w:val="center" w:pos="8640" w:leader="none"/>
          <w:tab w:val="left" w:pos="102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3600" w:leader="none"/>
          <w:tab w:val="center" w:pos="4860" w:leader="none"/>
          <w:tab w:val="left" w:pos="6660" w:leader="none"/>
          <w:tab w:val="left" w:pos="7380" w:leader="none"/>
          <w:tab w:val="center" w:pos="8640" w:leader="none"/>
          <w:tab w:val="left" w:pos="10350" w:leader="none"/>
        </w:tabs>
        <w:suppressAutoHyphens w:val="true"/>
        <w:ind w:end="115"/>
        <w:jc w:val="both"/>
        <w:rPr>
          <w:rFonts w:ascii="Courier New" w:hAnsi="Courier New" w:cs="Courier New"/>
          <w:spacing w:val="-2"/>
        </w:rPr>
      </w:pPr>
      <w:r>
        <w:rPr>
          <w:rFonts w:cs="Courier New" w:ascii="Courier New" w:hAnsi="Courier New"/>
          <w:spacing w:val="-2"/>
        </w:rPr>
        <w:tab/>
        <w:tab/>
      </w:r>
      <w:r>
        <w:rPr>
          <w:rFonts w:cs="Courier New" w:ascii="Courier New" w:hAnsi="Courier New"/>
          <w:spacing w:val="-2"/>
          <w:u w:val="single"/>
        </w:rPr>
        <w:tab/>
        <w:t>1999</w:t>
        <w:tab/>
      </w:r>
      <w:r>
        <w:rPr>
          <w:rFonts w:cs="Courier New" w:ascii="Courier New" w:hAnsi="Courier New"/>
          <w:spacing w:val="-2"/>
        </w:rPr>
        <w:tab/>
      </w:r>
      <w:r>
        <w:rPr>
          <w:rFonts w:cs="Courier New" w:ascii="Courier New" w:hAnsi="Courier New"/>
          <w:spacing w:val="-2"/>
          <w:u w:val="single"/>
        </w:rPr>
        <w:tab/>
        <w:t>1998</w:t>
        <w:tab/>
      </w:r>
    </w:p>
    <w:p>
      <w:pPr>
        <w:pStyle w:val="Normal"/>
        <w:tabs>
          <w:tab w:val="left" w:pos="720" w:leader="none"/>
          <w:tab w:val="right" w:pos="9960" w:leader="none"/>
        </w:tabs>
        <w:suppressAutoHyphens w:val="true"/>
        <w:ind w:end="90"/>
        <w:jc w:val="both"/>
        <w:rPr>
          <w:rFonts w:ascii="Courier New" w:hAnsi="Courier New" w:cs="Courier New"/>
          <w:spacing w:val="-2"/>
        </w:rPr>
      </w:pPr>
      <w:r>
        <w:rPr>
          <w:rFonts w:eastAsia="Courier New" w:cs="Courier New" w:ascii="Courier New" w:hAnsi="Courier New"/>
          <w:spacing w:val="-2"/>
          <w:sz w:val="16"/>
        </w:rPr>
        <w:t xml:space="preserve">                                       </w:t>
      </w:r>
      <w:r>
        <w:rPr>
          <w:rFonts w:eastAsia="Courier New" w:cs="Courier New" w:ascii="Courier New" w:hAnsi="Courier New"/>
          <w:spacing w:val="-2"/>
          <w:sz w:val="16"/>
          <w:u w:val="single"/>
        </w:rPr>
        <w:t xml:space="preserve"> </w:t>
      </w:r>
      <w:r>
        <w:rPr>
          <w:rFonts w:cs="Courier New" w:ascii="Courier New" w:hAnsi="Courier New"/>
          <w:spacing w:val="-2"/>
          <w:sz w:val="16"/>
          <w:u w:val="single"/>
        </w:rPr>
        <w:t xml:space="preserve">High </w:t>
      </w:r>
      <w:r>
        <w:rPr>
          <w:rFonts w:cs="Courier New" w:ascii="Courier New" w:hAnsi="Courier New"/>
          <w:spacing w:val="-2"/>
          <w:sz w:val="16"/>
        </w:rPr>
        <w:t xml:space="preserve">    </w:t>
      </w:r>
      <w:r>
        <w:rPr>
          <w:rFonts w:cs="Courier New" w:ascii="Courier New" w:hAnsi="Courier New"/>
          <w:spacing w:val="-2"/>
          <w:sz w:val="16"/>
          <w:u w:val="single"/>
        </w:rPr>
        <w:t xml:space="preserve">  Low  </w:t>
      </w:r>
      <w:r>
        <w:rPr>
          <w:rFonts w:cs="Courier New" w:ascii="Courier New" w:hAnsi="Courier New"/>
          <w:spacing w:val="-2"/>
          <w:sz w:val="16"/>
        </w:rPr>
        <w:t xml:space="preserve">      </w:t>
      </w:r>
      <w:r>
        <w:rPr>
          <w:rFonts w:cs="Courier New" w:ascii="Courier New" w:hAnsi="Courier New"/>
          <w:spacing w:val="-2"/>
          <w:sz w:val="16"/>
          <w:u w:val="single"/>
        </w:rPr>
        <w:t>Dividends</w:t>
      </w:r>
      <w:r>
        <w:rPr>
          <w:rFonts w:cs="Courier New" w:ascii="Courier New" w:hAnsi="Courier New"/>
          <w:spacing w:val="-2"/>
          <w:sz w:val="18"/>
        </w:rPr>
        <w:t xml:space="preserve">       </w:t>
      </w:r>
      <w:r>
        <w:rPr>
          <w:rFonts w:cs="Courier New" w:ascii="Courier New" w:hAnsi="Courier New"/>
          <w:spacing w:val="-2"/>
          <w:sz w:val="16"/>
          <w:u w:val="single"/>
        </w:rPr>
        <w:t xml:space="preserve"> High </w:t>
      </w:r>
      <w:r>
        <w:rPr>
          <w:rFonts w:cs="Courier New" w:ascii="Courier New" w:hAnsi="Courier New"/>
          <w:spacing w:val="-2"/>
          <w:sz w:val="16"/>
        </w:rPr>
        <w:t xml:space="preserve">    </w:t>
      </w:r>
      <w:r>
        <w:rPr>
          <w:rFonts w:cs="Courier New" w:ascii="Courier New" w:hAnsi="Courier New"/>
          <w:spacing w:val="-2"/>
          <w:sz w:val="16"/>
          <w:u w:val="single"/>
        </w:rPr>
        <w:t xml:space="preserve">  Low  </w:t>
      </w:r>
      <w:r>
        <w:rPr>
          <w:rFonts w:cs="Courier New" w:ascii="Courier New" w:hAnsi="Courier New"/>
          <w:spacing w:val="-2"/>
          <w:sz w:val="16"/>
        </w:rPr>
        <w:t xml:space="preserve">     </w:t>
      </w:r>
      <w:r>
        <w:rPr>
          <w:rFonts w:cs="Courier New" w:ascii="Courier New" w:hAnsi="Courier New"/>
          <w:spacing w:val="-2"/>
          <w:sz w:val="16"/>
          <w:u w:val="single"/>
        </w:rPr>
        <w:t>Dividends</w:t>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15"/>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t>First Quarter.............</w:t>
        <w:tab/>
        <w:t>$</w:t>
        <w:tab/>
        <w:t>$</w:t>
        <w:tab/>
        <w:t>$.</w:t>
        <w:tab/>
        <w:t>$</w:t>
        <w:tab/>
        <w:t>$</w:t>
        <w:tab/>
        <w:t>$.</w:t>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t>Second Quarter............</w:t>
        <w:tab/>
        <w:t xml:space="preserve"> </w:t>
        <w:tab/>
        <w:t xml:space="preserve"> </w:t>
        <w:tab/>
        <w:t xml:space="preserve"> </w:t>
        <w:tab/>
        <w:t xml:space="preserve"> </w:t>
        <w:tab/>
        <w:t xml:space="preserve"> </w:t>
        <w:tab/>
        <w:t xml:space="preserve"> .</w:t>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t>Third Quarter.............</w:t>
        <w:tab/>
        <w:t xml:space="preserve"> </w:t>
        <w:tab/>
        <w:t xml:space="preserve"> </w:t>
        <w:tab/>
        <w:t xml:space="preserve"> </w:t>
        <w:tab/>
        <w:t xml:space="preserve"> </w:t>
        <w:tab/>
        <w:t xml:space="preserve"> </w:t>
        <w:tab/>
        <w:t xml:space="preserve"> .</w:t>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t>Fourth Quarter............</w:t>
        <w:tab/>
        <w:t xml:space="preserve"> </w:t>
        <w:tab/>
        <w:t xml:space="preserve"> </w:t>
        <w:tab/>
        <w:t xml:space="preserve"> </w:t>
        <w:tab/>
        <w:t xml:space="preserve"> </w:t>
        <w:tab/>
        <w:t xml:space="preserve"> </w:t>
        <w:tab/>
        <w:t xml:space="preserve"> .</w:t>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b/>
          <w:spacing w:val="-2"/>
          <w:u w:val="single"/>
        </w:rPr>
        <w:t>Cumulative Second Preferred Convertible Stock</w:t>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BodyText"/>
        <w:rPr/>
      </w:pPr>
      <w:r>
        <w:rPr/>
        <w:tab/>
        <w:t>The following table indicates the high and low sales prices for the Cumulative Second Preferred Convertible Stock ("Second Preferred Stock") of Enron as reported on the New York Stock Exchange (consolidated transactions reporting system), the principal market in which the securities are traded, and dividends paid per share for the calendar quarters indicated.  The Second Preferred Stock is also listed for trading on the Chicago Stock Exchange.</w:t>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3420" w:leader="none"/>
          <w:tab w:val="center" w:pos="4680" w:leader="none"/>
          <w:tab w:val="left" w:pos="6210" w:leader="none"/>
          <w:tab w:val="left" w:pos="7380" w:leader="none"/>
          <w:tab w:val="center" w:pos="8640" w:leader="none"/>
          <w:tab w:val="left" w:pos="10260" w:leader="none"/>
        </w:tabs>
        <w:suppressAutoHyphens w:val="true"/>
        <w:ind w:end="115"/>
        <w:jc w:val="both"/>
        <w:rPr>
          <w:rFonts w:ascii="Courier New" w:hAnsi="Courier New" w:cs="Courier New"/>
          <w:spacing w:val="-2"/>
        </w:rPr>
      </w:pPr>
      <w:r>
        <w:rPr>
          <w:rFonts w:cs="Courier New" w:ascii="Courier New" w:hAnsi="Courier New"/>
          <w:spacing w:val="-2"/>
        </w:rPr>
        <w:tab/>
        <w:tab/>
      </w:r>
      <w:r>
        <w:rPr>
          <w:rFonts w:cs="Courier New" w:ascii="Courier New" w:hAnsi="Courier New"/>
          <w:spacing w:val="-2"/>
          <w:u w:val="single"/>
        </w:rPr>
        <w:tab/>
        <w:t>1999</w:t>
        <w:tab/>
      </w:r>
      <w:r>
        <w:rPr>
          <w:rFonts w:cs="Courier New" w:ascii="Courier New" w:hAnsi="Courier New"/>
          <w:spacing w:val="-2"/>
        </w:rPr>
        <w:tab/>
      </w:r>
      <w:r>
        <w:rPr>
          <w:rFonts w:cs="Courier New" w:ascii="Courier New" w:hAnsi="Courier New"/>
          <w:spacing w:val="-2"/>
          <w:u w:val="single"/>
        </w:rPr>
        <w:tab/>
        <w:t>1998</w:t>
        <w:tab/>
      </w:r>
    </w:p>
    <w:p>
      <w:pPr>
        <w:pStyle w:val="Normal"/>
        <w:tabs>
          <w:tab w:val="left" w:pos="720" w:leader="none"/>
          <w:tab w:val="left" w:pos="3420" w:leader="none"/>
          <w:tab w:val="center" w:pos="4680" w:leader="none"/>
          <w:tab w:val="left" w:pos="5880" w:leader="none"/>
          <w:tab w:val="left" w:pos="621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eastAsia="Courier New" w:cs="Courier New" w:ascii="Courier New" w:hAnsi="Courier New"/>
          <w:spacing w:val="-2"/>
        </w:rPr>
        <w:t xml:space="preserve">                             </w:t>
      </w:r>
      <w:r>
        <w:rPr>
          <w:rFonts w:eastAsia="Courier New" w:cs="Courier New" w:ascii="Courier New" w:hAnsi="Courier New"/>
          <w:spacing w:val="-2"/>
          <w:sz w:val="16"/>
          <w:u w:val="single"/>
        </w:rPr>
        <w:t xml:space="preserve"> </w:t>
      </w:r>
      <w:r>
        <w:rPr>
          <w:rFonts w:cs="Courier New" w:ascii="Courier New" w:hAnsi="Courier New"/>
          <w:spacing w:val="-2"/>
          <w:sz w:val="16"/>
          <w:u w:val="single"/>
        </w:rPr>
        <w:t xml:space="preserve">High </w:t>
      </w:r>
      <w:r>
        <w:rPr>
          <w:rFonts w:cs="Courier New" w:ascii="Courier New" w:hAnsi="Courier New"/>
          <w:spacing w:val="-2"/>
          <w:sz w:val="16"/>
        </w:rPr>
        <w:t xml:space="preserve">     </w:t>
      </w:r>
      <w:r>
        <w:rPr>
          <w:rFonts w:cs="Courier New" w:ascii="Courier New" w:hAnsi="Courier New"/>
          <w:spacing w:val="-2"/>
          <w:sz w:val="16"/>
          <w:u w:val="single"/>
        </w:rPr>
        <w:t xml:space="preserve">  Low  </w:t>
      </w:r>
      <w:r>
        <w:rPr>
          <w:rFonts w:cs="Courier New" w:ascii="Courier New" w:hAnsi="Courier New"/>
          <w:spacing w:val="-2"/>
          <w:sz w:val="16"/>
        </w:rPr>
        <w:t xml:space="preserve">    </w:t>
      </w:r>
      <w:r>
        <w:rPr>
          <w:rFonts w:cs="Courier New" w:ascii="Courier New" w:hAnsi="Courier New"/>
          <w:spacing w:val="-2"/>
          <w:sz w:val="16"/>
          <w:u w:val="single"/>
        </w:rPr>
        <w:t>Dividends</w:t>
      </w:r>
      <w:r>
        <w:rPr>
          <w:rFonts w:cs="Courier New" w:ascii="Courier New" w:hAnsi="Courier New"/>
          <w:spacing w:val="-2"/>
          <w:sz w:val="16"/>
        </w:rPr>
        <w:t xml:space="preserve">           </w:t>
      </w:r>
      <w:r>
        <w:rPr>
          <w:rFonts w:cs="Courier New" w:ascii="Courier New" w:hAnsi="Courier New"/>
          <w:spacing w:val="-2"/>
          <w:sz w:val="16"/>
          <w:u w:val="single"/>
        </w:rPr>
        <w:t xml:space="preserve"> High </w:t>
      </w:r>
      <w:r>
        <w:rPr>
          <w:rFonts w:cs="Courier New" w:ascii="Courier New" w:hAnsi="Courier New"/>
          <w:spacing w:val="-2"/>
          <w:sz w:val="16"/>
        </w:rPr>
        <w:t xml:space="preserve">    </w:t>
      </w:r>
      <w:r>
        <w:rPr>
          <w:rFonts w:cs="Courier New" w:ascii="Courier New" w:hAnsi="Courier New"/>
          <w:spacing w:val="-2"/>
          <w:sz w:val="16"/>
          <w:u w:val="single"/>
        </w:rPr>
        <w:t xml:space="preserve">  Low  </w:t>
      </w:r>
      <w:r>
        <w:rPr>
          <w:rFonts w:cs="Courier New" w:ascii="Courier New" w:hAnsi="Courier New"/>
          <w:spacing w:val="-2"/>
          <w:sz w:val="16"/>
        </w:rPr>
        <w:t xml:space="preserve">     </w:t>
      </w:r>
      <w:r>
        <w:rPr>
          <w:rFonts w:cs="Courier New" w:ascii="Courier New" w:hAnsi="Courier New"/>
          <w:spacing w:val="-2"/>
          <w:sz w:val="16"/>
          <w:u w:val="single"/>
        </w:rPr>
        <w:t>Dividends</w:t>
      </w:r>
    </w:p>
    <w:p>
      <w:pPr>
        <w:pStyle w:val="Normal"/>
        <w:tabs>
          <w:tab w:val="left" w:pos="720" w:leader="none"/>
          <w:tab w:val="left" w:pos="3420" w:leader="none"/>
          <w:tab w:val="center" w:pos="4680" w:leader="none"/>
          <w:tab w:val="left" w:pos="5880" w:leader="none"/>
          <w:tab w:val="left" w:pos="621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3420" w:leader="none"/>
          <w:tab w:val="center" w:pos="4680" w:leader="none"/>
          <w:tab w:val="left" w:pos="5490" w:leader="none"/>
          <w:tab w:val="left" w:pos="6210" w:leader="none"/>
          <w:tab w:val="left" w:pos="7315" w:leader="none"/>
          <w:tab w:val="left" w:pos="8400" w:leader="none"/>
          <w:tab w:val="left" w:pos="945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t>First Quarter.............</w:t>
        <w:tab/>
        <w:tab/>
        <w:tab/>
        <w:tab/>
        <w:tab/>
        <w:t>$634</w:t>
        <w:tab/>
        <w:t xml:space="preserve">  $565</w:t>
        <w:tab/>
        <w:t>$3.2424</w:t>
      </w:r>
    </w:p>
    <w:p>
      <w:pPr>
        <w:pStyle w:val="Normal"/>
        <w:tabs>
          <w:tab w:val="left" w:pos="720" w:leader="none"/>
          <w:tab w:val="left" w:pos="3420" w:leader="none"/>
          <w:tab w:val="center" w:pos="4680" w:leader="none"/>
          <w:tab w:val="left" w:pos="5490" w:leader="none"/>
          <w:tab w:val="left" w:pos="6210" w:leader="none"/>
          <w:tab w:val="left" w:pos="7315" w:leader="none"/>
          <w:tab w:val="left" w:pos="8400" w:leader="none"/>
          <w:tab w:val="left" w:pos="9450" w:leader="none"/>
          <w:tab w:val="right" w:pos="9960" w:leader="none"/>
        </w:tabs>
        <w:suppressAutoHyphens w:val="true"/>
        <w:ind w:end="120"/>
        <w:jc w:val="both"/>
        <w:rPr/>
      </w:pPr>
      <w:r>
        <w:rPr>
          <w:rFonts w:cs="Courier New" w:ascii="Courier New" w:hAnsi="Courier New"/>
          <w:spacing w:val="-2"/>
        </w:rPr>
        <w:t>Second Quarter............</w:t>
        <w:tab/>
        <w:tab/>
        <w:tab/>
        <w:tab/>
        <w:tab/>
        <w:t xml:space="preserve"> 684 </w:t>
      </w:r>
      <w:r>
        <w:rPr>
          <w:rFonts w:cs="Courier New" w:ascii="Courier New" w:hAnsi="Courier New"/>
          <w:spacing w:val="-2"/>
          <w:sz w:val="16"/>
        </w:rPr>
        <w:t xml:space="preserve">13/16  </w:t>
      </w:r>
      <w:r>
        <w:rPr>
          <w:rFonts w:cs="Courier New" w:ascii="Courier New" w:hAnsi="Courier New"/>
          <w:spacing w:val="-2"/>
        </w:rPr>
        <w:t xml:space="preserve">622 </w:t>
      </w:r>
      <w:r>
        <w:rPr>
          <w:rFonts w:cs="Courier New" w:ascii="Courier New" w:hAnsi="Courier New"/>
          <w:spacing w:val="-2"/>
          <w:sz w:val="16"/>
        </w:rPr>
        <w:t>3/4</w:t>
      </w:r>
      <w:r>
        <w:rPr>
          <w:rFonts w:cs="Courier New" w:ascii="Courier New" w:hAnsi="Courier New"/>
          <w:spacing w:val="-2"/>
        </w:rPr>
        <w:tab/>
        <w:t xml:space="preserve"> 3.2424</w:t>
      </w:r>
    </w:p>
    <w:p>
      <w:pPr>
        <w:pStyle w:val="Normal"/>
        <w:tabs>
          <w:tab w:val="left" w:pos="720" w:leader="none"/>
          <w:tab w:val="left" w:pos="3420" w:leader="none"/>
          <w:tab w:val="center" w:pos="4680" w:leader="none"/>
          <w:tab w:val="left" w:pos="5490" w:leader="none"/>
          <w:tab w:val="left" w:pos="6210" w:leader="none"/>
          <w:tab w:val="left" w:pos="7315" w:leader="none"/>
          <w:tab w:val="left" w:pos="8400" w:leader="none"/>
          <w:tab w:val="left" w:pos="945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t>Third Quarter.............</w:t>
        <w:tab/>
        <w:tab/>
        <w:tab/>
        <w:tab/>
        <w:tab/>
        <w:t xml:space="preserve">  --</w:t>
        <w:tab/>
        <w:t xml:space="preserve">   --</w:t>
        <w:tab/>
        <w:t xml:space="preserve"> 3.2424</w:t>
      </w:r>
    </w:p>
    <w:p>
      <w:pPr>
        <w:pStyle w:val="Normal"/>
        <w:tabs>
          <w:tab w:val="left" w:pos="720" w:leader="none"/>
          <w:tab w:val="left" w:pos="3420" w:leader="none"/>
          <w:tab w:val="center" w:pos="4680" w:leader="none"/>
          <w:tab w:val="left" w:pos="5490" w:leader="none"/>
          <w:tab w:val="left" w:pos="6210" w:leader="none"/>
          <w:tab w:val="left" w:pos="7315" w:leader="none"/>
          <w:tab w:val="left" w:pos="8400" w:leader="none"/>
          <w:tab w:val="left" w:pos="9450" w:leader="none"/>
          <w:tab w:val="right" w:pos="9960" w:leader="none"/>
        </w:tabs>
        <w:suppressAutoHyphens w:val="true"/>
        <w:ind w:end="-90"/>
        <w:jc w:val="both"/>
        <w:rPr/>
      </w:pPr>
      <w:r>
        <w:rPr>
          <w:rFonts w:cs="Courier New" w:ascii="Courier New" w:hAnsi="Courier New"/>
          <w:spacing w:val="-2"/>
        </w:rPr>
        <w:t>Fourth Quarter............</w:t>
        <w:tab/>
        <w:tab/>
        <w:tab/>
        <w:tab/>
        <w:tab/>
        <w:t xml:space="preserve"> 732</w:t>
      </w:r>
      <w:r>
        <w:rPr>
          <w:rFonts w:cs="Lucida Console" w:ascii="Lucida Console" w:hAnsi="Lucida Console"/>
          <w:spacing w:val="-2"/>
        </w:rPr>
        <w:t>½</w:t>
      </w:r>
      <w:r>
        <w:rPr>
          <w:rFonts w:cs="Courier New" w:ascii="Courier New" w:hAnsi="Courier New"/>
          <w:spacing w:val="-2"/>
        </w:rPr>
        <w:t xml:space="preserve"> </w:t>
        <w:tab/>
        <w:t xml:space="preserve">   718</w:t>
        <w:tab/>
        <w:t xml:space="preserve"> 3.4130</w:t>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tab/>
        <w:t>At December 31, 1999, there were approximately ________ record holders of common stock and ____ record holders of Second Preferred Stock.</w:t>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tab/>
        <w:t>Other information required by this item is set forth under Item 6 -- "Selected Financial Data (Unaudited) - Common Stock Statistics" for the years 1995-1999.</w:t>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b/>
          <w:spacing w:val="-2"/>
          <w:u w:val="single"/>
        </w:rPr>
        <w:t>Recent Sales of Unregistered Equity Securities</w:t>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b/>
          <w:spacing w:val="-2"/>
        </w:rPr>
        <w:t>[to come]</w:t>
      </w:r>
    </w:p>
    <w:p>
      <w:pPr>
        <w:pStyle w:val="Normal"/>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end="120"/>
        <w:jc w:val="both"/>
        <w:rPr>
          <w:rFonts w:ascii="Courier New" w:hAnsi="Courier New" w:cs="Courier New"/>
          <w:spacing w:val="-2"/>
        </w:rPr>
      </w:pPr>
      <w:r>
        <w:rPr>
          <w:rFonts w:cs="Courier New" w:ascii="Courier New" w:hAnsi="Courier New"/>
          <w:spacing w:val="-2"/>
        </w:rPr>
      </w:r>
    </w:p>
    <w:sectPr>
      <w:footerReference w:type="default" r:id="rId2"/>
      <w:type w:val="nextPage"/>
      <w:pgSz w:w="12240" w:h="15840"/>
      <w:pgMar w:left="1080" w:right="720" w:gutter="0" w:header="0" w:top="720" w:footer="389" w:bottom="445"/>
      <w:pgNumType w:start="26"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55.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3600" w:leader="none"/>
        <w:tab w:val="left" w:pos="4680" w:leader="none"/>
        <w:tab w:val="left" w:pos="5880" w:leader="none"/>
        <w:tab w:val="left" w:pos="7315" w:leader="none"/>
        <w:tab w:val="left" w:pos="8400" w:leader="none"/>
        <w:tab w:val="left" w:pos="9600" w:leader="none"/>
        <w:tab w:val="right" w:pos="9960" w:leader="none"/>
      </w:tabs>
      <w:suppressAutoHyphens w:val="true"/>
      <w:ind w:hanging="0" w:start="0" w:end="120"/>
      <w:jc w:val="both"/>
    </w:pPr>
    <w:rPr>
      <w:rFonts w:ascii="Courier New" w:hAnsi="Courier New" w:cs="Courier New"/>
      <w:spacing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168" w:leader="none"/>
      </w:tabs>
      <w:suppressAutoHyphens w:val="true"/>
      <w:jc w:val="both"/>
    </w:pPr>
    <w:rPr>
      <w:rFonts w:ascii="Courier New" w:hAnsi="Courier New" w:cs="Courier New"/>
      <w:spacing w:val="-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2000-02-28T15:33:00Z</dcterms:created>
  <dc:creator>Enron</dc:creator>
  <dc:description/>
  <dc:language>en-CA</dc:language>
  <cp:lastModifiedBy>smorgan</cp:lastModifiedBy>
  <cp:lastPrinted>2000-02-28T13:01:00Z</cp:lastPrinted>
  <dcterms:modified xsi:type="dcterms:W3CDTF">2000-03-08T11:51:00Z</dcterms:modified>
  <cp:revision>11</cp:revision>
  <dc:subject/>
  <dc:title>CURRENT EXECUTIVE OFFICERS OF THE REGISTRANT</dc:title>
</cp:coreProperties>
</file>