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double" w:sz="12" w:space="1" w:color="000000"/>
        </w:pBdr>
        <w:tabs>
          <w:tab w:val="clear" w:pos="720"/>
          <w:tab w:val="left" w:pos="600" w:leader="none"/>
        </w:tabs>
        <w:jc w:val="end"/>
        <w:rPr>
          <w:b/>
        </w:rPr>
      </w:pPr>
      <w:r>
        <w:rPr>
          <w:b/>
        </w:rPr>
        <w:t>DRAFT OF 3/1/00</w:t>
      </w:r>
    </w:p>
    <w:p>
      <w:pPr>
        <w:pStyle w:val="SECPgHeadings"/>
        <w:rPr>
          <w:b w:val="false"/>
          <w:sz w:val="19"/>
        </w:rPr>
      </w:pPr>
      <w:r>
        <w:rPr>
          <w:b w:val="false"/>
          <w:sz w:val="19"/>
        </w:rPr>
      </w:r>
    </w:p>
    <w:p>
      <w:pPr>
        <w:pStyle w:val="SECPgHeadings"/>
        <w:rPr>
          <w:sz w:val="19"/>
        </w:rPr>
      </w:pPr>
      <w:r>
        <w:rPr>
          <w:sz w:val="19"/>
        </w:rPr>
      </w:r>
    </w:p>
    <w:p>
      <w:pPr>
        <w:pStyle w:val="SECPgHeadings"/>
        <w:rPr>
          <w:sz w:val="19"/>
        </w:rPr>
      </w:pPr>
      <w:r>
        <w:rPr>
          <w:sz w:val="19"/>
        </w:rPr>
        <w:t>SECURITIES AND EXCHANGE COMMISSION</w:t>
      </w:r>
    </w:p>
    <w:p>
      <w:pPr>
        <w:pStyle w:val="SECPgHeadings"/>
        <w:rPr>
          <w:sz w:val="19"/>
        </w:rPr>
      </w:pPr>
      <w:r>
        <w:rPr>
          <w:sz w:val="19"/>
        </w:rPr>
        <w:t>WASHINGTON, D. C. 20549</w:t>
      </w:r>
    </w:p>
    <w:p>
      <w:pPr>
        <w:pStyle w:val="Normal"/>
        <w:spacing w:before="0" w:after="60"/>
        <w:jc w:val="center"/>
        <w:rPr>
          <w:u w:val="single"/>
          <w:lang w:val="en-CA"/>
        </w:rPr>
      </w:pPr>
      <w:r>
        <w:rPr>
          <w:u w:val="single"/>
          <w:lang w:val="en-CA"/>
        </w:rPr>
        <w:t>____________</w:t>
      </w:r>
    </w:p>
    <w:p>
      <w:pPr>
        <w:pStyle w:val="Normal"/>
        <w:jc w:val="center"/>
        <w:rPr>
          <w:b/>
          <w:sz w:val="32"/>
        </w:rPr>
      </w:pPr>
      <w:r>
        <w:rPr>
          <w:b/>
          <w:sz w:val="48"/>
        </w:rPr>
        <w:t>Form 10-K</w:t>
      </w:r>
    </w:p>
    <w:p>
      <w:pPr>
        <w:pStyle w:val="Normal"/>
        <w:spacing w:before="0" w:after="60"/>
        <w:jc w:val="center"/>
        <w:rPr>
          <w:sz w:val="16"/>
          <w:u w:val="single"/>
        </w:rPr>
      </w:pPr>
      <w:r>
        <w:rPr>
          <w:u w:val="single"/>
        </w:rPr>
        <w:t>____________</w:t>
      </w:r>
    </w:p>
    <w:p>
      <w:pPr>
        <w:pStyle w:val="Normal"/>
        <w:spacing w:before="0" w:after="60"/>
        <w:jc w:val="center"/>
        <w:rPr>
          <w:sz w:val="16"/>
          <w:u w:val="single"/>
        </w:rPr>
      </w:pPr>
      <w:r>
        <w:rPr>
          <w:sz w:val="16"/>
          <w:u w:val="single"/>
        </w:rPr>
      </w:r>
    </w:p>
    <w:p>
      <w:pPr>
        <w:pStyle w:val="Normal"/>
        <w:tabs>
          <w:tab w:val="clear" w:pos="720"/>
          <w:tab w:val="left" w:pos="600" w:leader="none"/>
        </w:tabs>
        <w:ind w:hanging="600" w:start="600" w:end="0"/>
        <w:rPr/>
      </w:pPr>
      <w:r>
        <w:rPr>
          <w:b/>
          <w:smallCaps/>
          <w:sz w:val="19"/>
        </w:rPr>
        <w:t>[X]</w:t>
      </w:r>
      <w:r>
        <w:rPr>
          <w:b/>
          <w:caps/>
          <w:sz w:val="19"/>
        </w:rPr>
        <w:tab/>
        <w:t>ANNUAL Report Pursuant to Section 13 or 15(d) of the</w:t>
      </w:r>
    </w:p>
    <w:p>
      <w:pPr>
        <w:pStyle w:val="Normal"/>
        <w:tabs>
          <w:tab w:val="clear" w:pos="720"/>
          <w:tab w:val="left" w:pos="600" w:leader="none"/>
        </w:tabs>
        <w:ind w:hanging="600" w:start="600" w:end="0"/>
        <w:rPr>
          <w:b/>
          <w:caps/>
          <w:sz w:val="19"/>
        </w:rPr>
      </w:pPr>
      <w:r>
        <w:rPr>
          <w:b/>
          <w:caps/>
          <w:sz w:val="19"/>
        </w:rPr>
        <w:tab/>
        <w:t>Securities Exchange Act of 1934</w:t>
      </w:r>
    </w:p>
    <w:p>
      <w:pPr>
        <w:pStyle w:val="Normal"/>
        <w:tabs>
          <w:tab w:val="clear" w:pos="720"/>
          <w:tab w:val="left" w:pos="600" w:leader="none"/>
        </w:tabs>
        <w:ind w:hanging="600" w:start="600" w:end="0"/>
        <w:rPr/>
      </w:pPr>
      <w:r>
        <w:rPr>
          <w:b/>
          <w:caps/>
          <w:sz w:val="19"/>
        </w:rPr>
        <w:tab/>
      </w:r>
      <w:r>
        <w:rPr>
          <w:b/>
          <w:caps/>
          <w:sz w:val="16"/>
        </w:rPr>
        <w:t>For the FISCAL YEAR ended dECEMBER 31, 1999</w:t>
      </w:r>
    </w:p>
    <w:p>
      <w:pPr>
        <w:pStyle w:val="Normal"/>
        <w:tabs>
          <w:tab w:val="clear" w:pos="720"/>
          <w:tab w:val="left" w:pos="600" w:leader="none"/>
        </w:tabs>
        <w:rPr>
          <w:sz w:val="16"/>
        </w:rPr>
      </w:pPr>
      <w:r>
        <w:rPr>
          <w:sz w:val="16"/>
        </w:rPr>
        <w:tab/>
        <w:tab/>
        <w:tab/>
        <w:tab/>
      </w:r>
      <w:r>
        <w:rPr>
          <w:b/>
          <w:sz w:val="16"/>
        </w:rPr>
        <w:t>OR</w:t>
      </w:r>
    </w:p>
    <w:p>
      <w:pPr>
        <w:pStyle w:val="Normal"/>
        <w:tabs>
          <w:tab w:val="clear" w:pos="720"/>
          <w:tab w:val="left" w:pos="600" w:leader="none"/>
        </w:tabs>
        <w:ind w:hanging="600" w:start="600" w:end="0"/>
        <w:rPr/>
      </w:pPr>
      <w:r>
        <w:rPr>
          <w:b/>
          <w:smallCaps/>
          <w:sz w:val="19"/>
        </w:rPr>
        <w:t>[  ]</w:t>
      </w:r>
      <w:r>
        <w:rPr>
          <w:sz w:val="19"/>
        </w:rPr>
        <w:tab/>
      </w:r>
      <w:r>
        <w:rPr>
          <w:b/>
          <w:caps/>
          <w:sz w:val="19"/>
        </w:rPr>
        <w:t>Transition Report Pursuant to Section 13 or 15(d) of the</w:t>
      </w:r>
    </w:p>
    <w:p>
      <w:pPr>
        <w:pStyle w:val="Normal"/>
        <w:tabs>
          <w:tab w:val="clear" w:pos="720"/>
          <w:tab w:val="left" w:pos="600" w:leader="none"/>
        </w:tabs>
        <w:ind w:hanging="600" w:start="600" w:end="0"/>
        <w:rPr>
          <w:b/>
          <w:caps/>
          <w:sz w:val="19"/>
        </w:rPr>
      </w:pPr>
      <w:r>
        <w:rPr>
          <w:b/>
          <w:caps/>
          <w:sz w:val="19"/>
        </w:rPr>
        <w:tab/>
        <w:t>Securities Exchange Act of 1934</w:t>
      </w:r>
    </w:p>
    <w:p>
      <w:pPr>
        <w:pStyle w:val="Normal"/>
        <w:tabs>
          <w:tab w:val="clear" w:pos="720"/>
          <w:tab w:val="left" w:pos="600" w:leader="none"/>
        </w:tabs>
        <w:rPr>
          <w:b/>
          <w:caps/>
          <w:sz w:val="12"/>
        </w:rPr>
      </w:pPr>
      <w:r>
        <w:rPr>
          <w:b/>
          <w:caps/>
          <w:sz w:val="12"/>
        </w:rPr>
      </w:r>
    </w:p>
    <w:p>
      <w:pPr>
        <w:pStyle w:val="Normal"/>
        <w:jc w:val="center"/>
        <w:rPr>
          <w:b/>
          <w:sz w:val="19"/>
        </w:rPr>
      </w:pPr>
      <w:r>
        <w:rPr>
          <w:b/>
          <w:sz w:val="19"/>
        </w:rPr>
        <w:t>Commission File Number 1-13159</w:t>
      </w:r>
    </w:p>
    <w:p>
      <w:pPr>
        <w:pStyle w:val="Normal"/>
        <w:jc w:val="center"/>
        <w:rPr>
          <w:b/>
          <w:sz w:val="12"/>
        </w:rPr>
      </w:pPr>
      <w:r>
        <w:rPr>
          <w:b/>
          <w:sz w:val="12"/>
        </w:rPr>
      </w:r>
    </w:p>
    <w:p>
      <w:pPr>
        <w:pStyle w:val="Normal"/>
        <w:jc w:val="center"/>
        <w:rPr>
          <w:b/>
          <w:sz w:val="48"/>
        </w:rPr>
      </w:pPr>
      <w:r>
        <w:rPr>
          <w:b/>
          <w:sz w:val="48"/>
        </w:rPr>
        <w:t>ENRON CORP.</w:t>
      </w:r>
    </w:p>
    <w:p>
      <w:pPr>
        <w:pStyle w:val="Normal"/>
        <w:jc w:val="center"/>
        <w:rPr>
          <w:sz w:val="19"/>
        </w:rPr>
      </w:pPr>
      <w:r>
        <w:rPr>
          <w:sz w:val="19"/>
        </w:rPr>
        <w:t xml:space="preserve"> </w:t>
      </w:r>
      <w:r>
        <w:rPr>
          <w:sz w:val="19"/>
        </w:rPr>
        <w:t>(Exact name of registrant as specified in its charter)</w:t>
      </w:r>
    </w:p>
    <w:tbl>
      <w:tblPr>
        <w:tblW w:w="11538" w:type="dxa"/>
        <w:jc w:val="center"/>
        <w:tblInd w:w="0" w:type="dxa"/>
        <w:tblLayout w:type="fixed"/>
        <w:tblCellMar>
          <w:top w:w="0" w:type="dxa"/>
          <w:start w:w="108" w:type="dxa"/>
          <w:bottom w:w="0" w:type="dxa"/>
          <w:end w:w="108" w:type="dxa"/>
        </w:tblCellMar>
      </w:tblPr>
      <w:tblGrid>
        <w:gridCol w:w="5778"/>
        <w:gridCol w:w="5760"/>
      </w:tblGrid>
      <w:tr>
        <w:trPr/>
        <w:tc>
          <w:tcPr>
            <w:tcW w:w="5778" w:type="dxa"/>
            <w:tcBorders/>
          </w:tcPr>
          <w:p>
            <w:pPr>
              <w:pStyle w:val="Normal"/>
              <w:jc w:val="center"/>
              <w:rPr>
                <w:b/>
                <w:sz w:val="24"/>
              </w:rPr>
            </w:pPr>
            <w:r>
              <w:rPr>
                <w:b/>
                <w:sz w:val="24"/>
              </w:rPr>
              <w:t>Oregon</w:t>
            </w:r>
          </w:p>
        </w:tc>
        <w:tc>
          <w:tcPr>
            <w:tcW w:w="5760" w:type="dxa"/>
            <w:tcBorders/>
          </w:tcPr>
          <w:p>
            <w:pPr>
              <w:pStyle w:val="Normal"/>
              <w:jc w:val="center"/>
              <w:rPr>
                <w:b/>
                <w:sz w:val="24"/>
              </w:rPr>
            </w:pPr>
            <w:r>
              <w:rPr>
                <w:b/>
                <w:sz w:val="24"/>
              </w:rPr>
              <w:t>47-0255140</w:t>
            </w:r>
          </w:p>
        </w:tc>
      </w:tr>
      <w:tr>
        <w:trPr/>
        <w:tc>
          <w:tcPr>
            <w:tcW w:w="5778" w:type="dxa"/>
            <w:tcBorders/>
          </w:tcPr>
          <w:p>
            <w:pPr>
              <w:pStyle w:val="Normal"/>
              <w:tabs>
                <w:tab w:val="clear" w:pos="720"/>
                <w:tab w:val="left" w:pos="600" w:leader="none"/>
                <w:tab w:val="left" w:pos="5358" w:leader="none"/>
              </w:tabs>
              <w:jc w:val="center"/>
              <w:rPr>
                <w:b/>
                <w:sz w:val="19"/>
              </w:rPr>
            </w:pPr>
            <w:r>
              <w:rPr>
                <w:b/>
                <w:sz w:val="19"/>
              </w:rPr>
              <w:t>(State or other jurisdiction</w:t>
            </w:r>
          </w:p>
          <w:p>
            <w:pPr>
              <w:pStyle w:val="Normal"/>
              <w:spacing w:before="0" w:after="120"/>
              <w:jc w:val="center"/>
              <w:rPr>
                <w:b/>
                <w:sz w:val="19"/>
              </w:rPr>
            </w:pPr>
            <w:r>
              <w:rPr>
                <w:b/>
                <w:sz w:val="19"/>
              </w:rPr>
              <w:t>of incorporation or organization)</w:t>
            </w:r>
          </w:p>
        </w:tc>
        <w:tc>
          <w:tcPr>
            <w:tcW w:w="5760" w:type="dxa"/>
            <w:tcBorders/>
          </w:tcPr>
          <w:p>
            <w:pPr>
              <w:pStyle w:val="Normal"/>
              <w:jc w:val="center"/>
              <w:rPr>
                <w:b/>
                <w:sz w:val="19"/>
              </w:rPr>
            </w:pPr>
            <w:r>
              <w:rPr>
                <w:b/>
                <w:sz w:val="19"/>
              </w:rPr>
              <w:t>(I.R.S. Employer</w:t>
            </w:r>
          </w:p>
          <w:p>
            <w:pPr>
              <w:pStyle w:val="Normal"/>
              <w:jc w:val="center"/>
              <w:rPr>
                <w:b/>
                <w:sz w:val="19"/>
              </w:rPr>
            </w:pPr>
            <w:r>
              <w:rPr>
                <w:b/>
                <w:sz w:val="19"/>
              </w:rPr>
              <w:t>Identification No.)</w:t>
            </w:r>
          </w:p>
        </w:tc>
      </w:tr>
    </w:tbl>
    <w:p>
      <w:pPr>
        <w:pStyle w:val="Normal"/>
        <w:jc w:val="center"/>
        <w:rPr>
          <w:b/>
          <w:sz w:val="19"/>
        </w:rPr>
      </w:pPr>
      <w:r>
        <w:rPr>
          <w:b/>
          <w:sz w:val="19"/>
        </w:rPr>
        <w:t>ENRON BUILDING</w:t>
      </w:r>
    </w:p>
    <w:p>
      <w:pPr>
        <w:pStyle w:val="Normal"/>
        <w:jc w:val="center"/>
        <w:rPr>
          <w:b/>
          <w:sz w:val="19"/>
        </w:rPr>
      </w:pPr>
      <w:r>
        <w:rPr>
          <w:b/>
          <w:sz w:val="19"/>
        </w:rPr>
        <w:t>1400 Smith Street, Houston, Texas 77002-7369</w:t>
      </w:r>
    </w:p>
    <w:p>
      <w:pPr>
        <w:pStyle w:val="Normal"/>
        <w:spacing w:before="0" w:after="120"/>
        <w:jc w:val="center"/>
        <w:rPr>
          <w:b/>
          <w:sz w:val="19"/>
        </w:rPr>
      </w:pPr>
      <w:r>
        <w:rPr>
          <w:b/>
          <w:sz w:val="19"/>
        </w:rPr>
        <w:t>(Address of principal executive offices) (zip code)</w:t>
      </w:r>
    </w:p>
    <w:p>
      <w:pPr>
        <w:pStyle w:val="Normal"/>
        <w:jc w:val="center"/>
        <w:rPr>
          <w:b/>
          <w:sz w:val="19"/>
        </w:rPr>
      </w:pPr>
      <w:r>
        <w:rPr>
          <w:b/>
          <w:sz w:val="19"/>
        </w:rPr>
        <w:t>Registrant's telephone number, including area code: 713-853-6161</w:t>
      </w:r>
    </w:p>
    <w:p>
      <w:pPr>
        <w:pStyle w:val="Normal"/>
        <w:spacing w:before="0" w:after="60"/>
        <w:jc w:val="center"/>
        <w:rPr>
          <w:sz w:val="19"/>
          <w:u w:val="single"/>
        </w:rPr>
      </w:pPr>
      <w:r>
        <w:rPr>
          <w:sz w:val="19"/>
          <w:u w:val="single"/>
        </w:rPr>
        <w:t>____________</w:t>
      </w:r>
    </w:p>
    <w:p>
      <w:pPr>
        <w:pStyle w:val="Normal"/>
        <w:spacing w:before="0" w:after="60"/>
        <w:jc w:val="center"/>
        <w:rPr/>
      </w:pPr>
      <w:r>
        <w:rPr/>
        <w:t>Securities registered pursuant to Section 12(b) of the Act:</w:t>
      </w:r>
    </w:p>
    <w:tbl>
      <w:tblPr>
        <w:tblW w:w="9198" w:type="dxa"/>
        <w:jc w:val="start"/>
        <w:tblInd w:w="0" w:type="dxa"/>
        <w:tblLayout w:type="fixed"/>
        <w:tblCellMar>
          <w:top w:w="0" w:type="dxa"/>
          <w:start w:w="108" w:type="dxa"/>
          <w:bottom w:w="0" w:type="dxa"/>
          <w:end w:w="108" w:type="dxa"/>
        </w:tblCellMar>
      </w:tblPr>
      <w:tblGrid>
        <w:gridCol w:w="828"/>
        <w:gridCol w:w="3870"/>
        <w:gridCol w:w="1260"/>
        <w:gridCol w:w="3240"/>
      </w:tblGrid>
      <w:tr>
        <w:trPr>
          <w:trHeight w:val="100" w:hRule="atLeast"/>
        </w:trPr>
        <w:tc>
          <w:tcPr>
            <w:tcW w:w="4698" w:type="dxa"/>
            <w:gridSpan w:val="2"/>
            <w:tcBorders/>
          </w:tcPr>
          <w:p>
            <w:pPr>
              <w:pStyle w:val="Normal"/>
              <w:spacing w:before="0" w:after="60"/>
              <w:ind w:hanging="180" w:end="0"/>
              <w:jc w:val="center"/>
              <w:rPr>
                <w:b/>
                <w:sz w:val="19"/>
              </w:rPr>
            </w:pPr>
            <w:r>
              <w:rPr>
                <w:sz w:val="19"/>
                <w:u w:val="single"/>
              </w:rPr>
              <w:t>Title of each class</w:t>
            </w:r>
          </w:p>
        </w:tc>
        <w:tc>
          <w:tcPr>
            <w:tcW w:w="4500" w:type="dxa"/>
            <w:gridSpan w:val="2"/>
            <w:tcBorders/>
          </w:tcPr>
          <w:p>
            <w:pPr>
              <w:pStyle w:val="Normal"/>
              <w:ind w:hanging="180" w:start="522" w:end="-180"/>
              <w:jc w:val="center"/>
              <w:rPr>
                <w:b/>
                <w:sz w:val="19"/>
              </w:rPr>
            </w:pPr>
            <w:r>
              <w:rPr>
                <w:sz w:val="19"/>
                <w:u w:val="single"/>
              </w:rPr>
              <w:t>Name of each exchange on which registered</w:t>
            </w:r>
          </w:p>
        </w:tc>
      </w:tr>
      <w:tr>
        <w:trPr>
          <w:trHeight w:val="100" w:hRule="atLeast"/>
        </w:trPr>
        <w:tc>
          <w:tcPr>
            <w:tcW w:w="5958" w:type="dxa"/>
            <w:gridSpan w:val="3"/>
            <w:tcBorders/>
          </w:tcPr>
          <w:p>
            <w:pPr>
              <w:pStyle w:val="Normal"/>
              <w:snapToGrid w:val="false"/>
              <w:spacing w:before="0" w:after="60"/>
              <w:rPr>
                <w:b/>
                <w:sz w:val="19"/>
              </w:rPr>
            </w:pPr>
            <w:r>
              <w:rPr>
                <w:b/>
                <w:sz w:val="19"/>
              </w:rPr>
            </w:r>
          </w:p>
        </w:tc>
        <w:tc>
          <w:tcPr>
            <w:tcW w:w="3240" w:type="dxa"/>
            <w:tcBorders/>
          </w:tcPr>
          <w:p>
            <w:pPr>
              <w:pStyle w:val="Normal"/>
              <w:snapToGrid w:val="false"/>
              <w:ind w:start="72" w:end="0"/>
              <w:rPr>
                <w:b/>
                <w:sz w:val="19"/>
              </w:rPr>
            </w:pPr>
            <w:r>
              <w:rPr>
                <w:b/>
                <w:sz w:val="19"/>
              </w:rPr>
            </w:r>
          </w:p>
        </w:tc>
      </w:tr>
      <w:tr>
        <w:trPr>
          <w:trHeight w:val="100" w:hRule="atLeast"/>
        </w:trPr>
        <w:tc>
          <w:tcPr>
            <w:tcW w:w="828" w:type="dxa"/>
            <w:tcBorders/>
            <w:tcMar>
              <w:start w:w="0" w:type="dxa"/>
              <w:end w:w="0" w:type="dxa"/>
            </w:tcMar>
          </w:tcPr>
          <w:p>
            <w:pPr>
              <w:pStyle w:val="Normal"/>
              <w:rPr>
                <w:b/>
                <w:sz w:val="19"/>
              </w:rPr>
            </w:pPr>
            <w:r>
              <w:rPr>
                <w:b/>
                <w:sz w:val="19"/>
              </w:rPr>
            </w:r>
          </w:p>
        </w:tc>
        <w:tc>
          <w:tcPr>
            <w:tcW w:w="5130" w:type="dxa"/>
            <w:gridSpan w:val="2"/>
            <w:tcBorders/>
          </w:tcPr>
          <w:p>
            <w:pPr>
              <w:pStyle w:val="Normal"/>
              <w:rPr>
                <w:b/>
                <w:sz w:val="19"/>
              </w:rPr>
            </w:pPr>
            <w:r>
              <w:rPr>
                <w:sz w:val="19"/>
              </w:rPr>
              <w:t>Common Stock, no par value</w:t>
            </w:r>
          </w:p>
        </w:tc>
        <w:tc>
          <w:tcPr>
            <w:tcW w:w="3240" w:type="dxa"/>
            <w:tcBorders/>
          </w:tcPr>
          <w:p>
            <w:pPr>
              <w:pStyle w:val="Normal"/>
              <w:ind w:start="72" w:end="0"/>
              <w:rPr>
                <w:b/>
                <w:sz w:val="19"/>
              </w:rPr>
            </w:pPr>
            <w:r>
              <w:rPr>
                <w:sz w:val="19"/>
              </w:rPr>
              <w:t>New York Stock Exchange;</w:t>
            </w:r>
          </w:p>
        </w:tc>
      </w:tr>
      <w:tr>
        <w:trPr>
          <w:trHeight w:val="100" w:hRule="atLeast"/>
        </w:trPr>
        <w:tc>
          <w:tcPr>
            <w:tcW w:w="828" w:type="dxa"/>
            <w:tcBorders/>
            <w:tcMar>
              <w:start w:w="0" w:type="dxa"/>
              <w:end w:w="0" w:type="dxa"/>
            </w:tcMar>
          </w:tcPr>
          <w:p>
            <w:pPr>
              <w:pStyle w:val="Normal"/>
              <w:rPr>
                <w:b/>
                <w:sz w:val="19"/>
              </w:rPr>
            </w:pPr>
            <w:r>
              <w:rPr>
                <w:b/>
                <w:sz w:val="19"/>
              </w:rPr>
            </w:r>
          </w:p>
        </w:tc>
        <w:tc>
          <w:tcPr>
            <w:tcW w:w="5130" w:type="dxa"/>
            <w:gridSpan w:val="2"/>
            <w:tcBorders/>
          </w:tcPr>
          <w:p>
            <w:pPr>
              <w:pStyle w:val="Normal"/>
              <w:snapToGrid w:val="false"/>
              <w:rPr>
                <w:b/>
                <w:sz w:val="19"/>
              </w:rPr>
            </w:pPr>
            <w:r>
              <w:rPr>
                <w:b/>
                <w:sz w:val="19"/>
              </w:rPr>
            </w:r>
          </w:p>
        </w:tc>
        <w:tc>
          <w:tcPr>
            <w:tcW w:w="3240" w:type="dxa"/>
            <w:tcBorders/>
          </w:tcPr>
          <w:p>
            <w:pPr>
              <w:pStyle w:val="Normal"/>
              <w:ind w:start="72" w:end="0"/>
              <w:rPr>
                <w:b/>
                <w:sz w:val="19"/>
              </w:rPr>
            </w:pPr>
            <w:r>
              <w:rPr>
                <w:sz w:val="19"/>
              </w:rPr>
              <w:t>Chicago Stock Exchange; and</w:t>
            </w:r>
          </w:p>
        </w:tc>
      </w:tr>
      <w:tr>
        <w:trPr>
          <w:trHeight w:val="100" w:hRule="atLeast"/>
        </w:trPr>
        <w:tc>
          <w:tcPr>
            <w:tcW w:w="828" w:type="dxa"/>
            <w:tcBorders/>
            <w:tcMar>
              <w:start w:w="0" w:type="dxa"/>
              <w:end w:w="0" w:type="dxa"/>
            </w:tcMar>
          </w:tcPr>
          <w:p>
            <w:pPr>
              <w:pStyle w:val="Normal"/>
              <w:rPr>
                <w:b/>
                <w:sz w:val="19"/>
              </w:rPr>
            </w:pPr>
            <w:r>
              <w:rPr>
                <w:b/>
                <w:sz w:val="19"/>
              </w:rPr>
            </w:r>
          </w:p>
        </w:tc>
        <w:tc>
          <w:tcPr>
            <w:tcW w:w="5130" w:type="dxa"/>
            <w:gridSpan w:val="2"/>
            <w:tcBorders/>
          </w:tcPr>
          <w:p>
            <w:pPr>
              <w:pStyle w:val="Normal"/>
              <w:snapToGrid w:val="false"/>
              <w:rPr>
                <w:b/>
                <w:sz w:val="19"/>
              </w:rPr>
            </w:pPr>
            <w:r>
              <w:rPr>
                <w:b/>
                <w:sz w:val="19"/>
              </w:rPr>
            </w:r>
          </w:p>
        </w:tc>
        <w:tc>
          <w:tcPr>
            <w:tcW w:w="3240" w:type="dxa"/>
            <w:tcBorders/>
          </w:tcPr>
          <w:p>
            <w:pPr>
              <w:pStyle w:val="Normal"/>
              <w:ind w:start="72" w:end="0"/>
              <w:rPr>
                <w:b/>
                <w:sz w:val="19"/>
              </w:rPr>
            </w:pPr>
            <w:r>
              <w:rPr>
                <w:sz w:val="19"/>
              </w:rPr>
              <w:t>Pacific Stock Exchange</w:t>
            </w:r>
          </w:p>
        </w:tc>
      </w:tr>
      <w:tr>
        <w:trPr>
          <w:trHeight w:val="100" w:hRule="atLeast"/>
        </w:trPr>
        <w:tc>
          <w:tcPr>
            <w:tcW w:w="828" w:type="dxa"/>
            <w:tcBorders/>
            <w:tcMar>
              <w:start w:w="0" w:type="dxa"/>
              <w:end w:w="0" w:type="dxa"/>
            </w:tcMar>
          </w:tcPr>
          <w:p>
            <w:pPr>
              <w:pStyle w:val="Normal"/>
              <w:rPr>
                <w:b/>
                <w:sz w:val="19"/>
              </w:rPr>
            </w:pPr>
            <w:r>
              <w:rPr>
                <w:b/>
                <w:sz w:val="19"/>
              </w:rPr>
            </w:r>
          </w:p>
        </w:tc>
        <w:tc>
          <w:tcPr>
            <w:tcW w:w="5130" w:type="dxa"/>
            <w:gridSpan w:val="2"/>
            <w:tcBorders/>
          </w:tcPr>
          <w:p>
            <w:pPr>
              <w:pStyle w:val="Normal"/>
              <w:snapToGrid w:val="false"/>
              <w:rPr>
                <w:b/>
                <w:sz w:val="19"/>
              </w:rPr>
            </w:pPr>
            <w:r>
              <w:rPr>
                <w:b/>
                <w:sz w:val="19"/>
              </w:rPr>
            </w:r>
          </w:p>
        </w:tc>
        <w:tc>
          <w:tcPr>
            <w:tcW w:w="3240" w:type="dxa"/>
            <w:tcBorders/>
          </w:tcPr>
          <w:p>
            <w:pPr>
              <w:pStyle w:val="Normal"/>
              <w:snapToGrid w:val="false"/>
              <w:ind w:start="72" w:end="0"/>
              <w:rPr>
                <w:b/>
                <w:sz w:val="19"/>
              </w:rPr>
            </w:pPr>
            <w:r>
              <w:rPr>
                <w:b/>
                <w:sz w:val="19"/>
              </w:rPr>
            </w:r>
          </w:p>
        </w:tc>
      </w:tr>
      <w:tr>
        <w:trPr>
          <w:trHeight w:val="100" w:hRule="atLeast"/>
        </w:trPr>
        <w:tc>
          <w:tcPr>
            <w:tcW w:w="828" w:type="dxa"/>
            <w:tcBorders/>
            <w:tcMar>
              <w:start w:w="0" w:type="dxa"/>
              <w:end w:w="0" w:type="dxa"/>
            </w:tcMar>
          </w:tcPr>
          <w:p>
            <w:pPr>
              <w:pStyle w:val="Normal"/>
              <w:rPr>
                <w:b/>
                <w:sz w:val="19"/>
              </w:rPr>
            </w:pPr>
            <w:r>
              <w:rPr>
                <w:b/>
                <w:sz w:val="19"/>
              </w:rPr>
            </w:r>
          </w:p>
        </w:tc>
        <w:tc>
          <w:tcPr>
            <w:tcW w:w="5130" w:type="dxa"/>
            <w:gridSpan w:val="2"/>
            <w:tcBorders/>
          </w:tcPr>
          <w:p>
            <w:pPr>
              <w:pStyle w:val="Normal"/>
              <w:rPr>
                <w:b/>
                <w:sz w:val="19"/>
              </w:rPr>
            </w:pPr>
            <w:r>
              <w:rPr>
                <w:sz w:val="19"/>
              </w:rPr>
              <w:t>Cumulative Second Preferred Convertible Stock,</w:t>
            </w:r>
          </w:p>
        </w:tc>
        <w:tc>
          <w:tcPr>
            <w:tcW w:w="3240" w:type="dxa"/>
            <w:tcBorders/>
          </w:tcPr>
          <w:p>
            <w:pPr>
              <w:pStyle w:val="Normal"/>
              <w:ind w:start="72" w:end="0"/>
              <w:rPr>
                <w:b/>
                <w:sz w:val="19"/>
              </w:rPr>
            </w:pPr>
            <w:r>
              <w:rPr>
                <w:sz w:val="19"/>
              </w:rPr>
              <w:t>New York Stock Exchange and</w:t>
            </w:r>
          </w:p>
        </w:tc>
      </w:tr>
      <w:tr>
        <w:trPr>
          <w:trHeight w:val="100" w:hRule="atLeast"/>
        </w:trPr>
        <w:tc>
          <w:tcPr>
            <w:tcW w:w="828" w:type="dxa"/>
            <w:tcBorders/>
            <w:tcMar>
              <w:start w:w="0" w:type="dxa"/>
              <w:end w:w="0" w:type="dxa"/>
            </w:tcMar>
          </w:tcPr>
          <w:p>
            <w:pPr>
              <w:pStyle w:val="Normal"/>
              <w:rPr>
                <w:b/>
                <w:sz w:val="19"/>
              </w:rPr>
            </w:pPr>
            <w:r>
              <w:rPr>
                <w:b/>
                <w:sz w:val="19"/>
              </w:rPr>
            </w:r>
          </w:p>
        </w:tc>
        <w:tc>
          <w:tcPr>
            <w:tcW w:w="5130" w:type="dxa"/>
            <w:gridSpan w:val="2"/>
            <w:tcBorders/>
          </w:tcPr>
          <w:p>
            <w:pPr>
              <w:pStyle w:val="Normal"/>
              <w:rPr>
                <w:b/>
                <w:sz w:val="19"/>
              </w:rPr>
            </w:pPr>
            <w:r>
              <w:rPr>
                <w:sz w:val="19"/>
              </w:rPr>
              <w:t xml:space="preserve">        </w:t>
            </w:r>
            <w:r>
              <w:rPr>
                <w:sz w:val="19"/>
              </w:rPr>
              <w:t>no par value</w:t>
            </w:r>
          </w:p>
        </w:tc>
        <w:tc>
          <w:tcPr>
            <w:tcW w:w="3240" w:type="dxa"/>
            <w:tcBorders/>
          </w:tcPr>
          <w:p>
            <w:pPr>
              <w:pStyle w:val="Normal"/>
              <w:ind w:start="72" w:end="0"/>
              <w:rPr>
                <w:b/>
                <w:sz w:val="19"/>
              </w:rPr>
            </w:pPr>
            <w:r>
              <w:rPr>
                <w:sz w:val="19"/>
              </w:rPr>
              <w:t>Chicago Stock Exchange</w:t>
            </w:r>
          </w:p>
        </w:tc>
      </w:tr>
      <w:tr>
        <w:trPr>
          <w:trHeight w:val="100" w:hRule="atLeast"/>
        </w:trPr>
        <w:tc>
          <w:tcPr>
            <w:tcW w:w="828" w:type="dxa"/>
            <w:tcBorders/>
            <w:tcMar>
              <w:start w:w="0" w:type="dxa"/>
              <w:end w:w="0" w:type="dxa"/>
            </w:tcMar>
          </w:tcPr>
          <w:p>
            <w:pPr>
              <w:pStyle w:val="Normal"/>
              <w:rPr>
                <w:b/>
                <w:sz w:val="19"/>
              </w:rPr>
            </w:pPr>
            <w:r>
              <w:rPr>
                <w:b/>
                <w:sz w:val="19"/>
              </w:rPr>
            </w:r>
          </w:p>
        </w:tc>
        <w:tc>
          <w:tcPr>
            <w:tcW w:w="5130" w:type="dxa"/>
            <w:gridSpan w:val="2"/>
            <w:tcBorders/>
          </w:tcPr>
          <w:p>
            <w:pPr>
              <w:pStyle w:val="Normal"/>
              <w:snapToGrid w:val="false"/>
              <w:rPr>
                <w:b/>
                <w:sz w:val="19"/>
              </w:rPr>
            </w:pPr>
            <w:r>
              <w:rPr>
                <w:b/>
                <w:sz w:val="19"/>
              </w:rPr>
            </w:r>
          </w:p>
        </w:tc>
        <w:tc>
          <w:tcPr>
            <w:tcW w:w="3240" w:type="dxa"/>
            <w:tcBorders/>
          </w:tcPr>
          <w:p>
            <w:pPr>
              <w:pStyle w:val="Normal"/>
              <w:snapToGrid w:val="false"/>
              <w:ind w:start="72" w:end="0"/>
              <w:rPr>
                <w:b/>
                <w:sz w:val="19"/>
              </w:rPr>
            </w:pPr>
            <w:r>
              <w:rPr>
                <w:b/>
                <w:sz w:val="19"/>
              </w:rPr>
            </w:r>
          </w:p>
        </w:tc>
      </w:tr>
    </w:tbl>
    <w:p>
      <w:pPr>
        <w:pStyle w:val="Normal"/>
        <w:spacing w:before="0" w:after="60"/>
        <w:rPr>
          <w:b/>
          <w:sz w:val="12"/>
        </w:rPr>
      </w:pPr>
      <w:r>
        <w:rPr>
          <w:b/>
          <w:sz w:val="12"/>
        </w:rPr>
      </w:r>
    </w:p>
    <w:p>
      <w:pPr>
        <w:pStyle w:val="Normal"/>
        <w:spacing w:before="0" w:after="60"/>
        <w:jc w:val="center"/>
        <w:rPr>
          <w:b/>
          <w:sz w:val="16"/>
        </w:rPr>
      </w:pPr>
      <w:r>
        <w:rPr>
          <w:b/>
        </w:rPr>
        <w:t>Securities registered pursuant to Section 12(g) of the Act:</w:t>
      </w:r>
    </w:p>
    <w:p>
      <w:pPr>
        <w:pStyle w:val="Normal"/>
        <w:spacing w:before="0" w:after="60"/>
        <w:jc w:val="center"/>
        <w:rPr>
          <w:sz w:val="12"/>
        </w:rPr>
      </w:pPr>
      <w:r>
        <w:rPr/>
        <w:t>None</w:t>
      </w:r>
    </w:p>
    <w:p>
      <w:pPr>
        <w:pStyle w:val="Normal"/>
        <w:spacing w:before="0" w:after="60"/>
        <w:jc w:val="center"/>
        <w:rPr>
          <w:sz w:val="8"/>
        </w:rPr>
      </w:pPr>
      <w:r>
        <w:rPr>
          <w:sz w:val="8"/>
        </w:rPr>
      </w:r>
    </w:p>
    <w:p>
      <w:pPr>
        <w:pStyle w:val="SECFORM10QText"/>
        <w:tabs>
          <w:tab w:val="clear" w:pos="720"/>
          <w:tab w:val="right" w:pos="7740" w:leader="none"/>
        </w:tabs>
        <w:rPr>
          <w:sz w:val="16"/>
        </w:rPr>
      </w:pPr>
      <w:r>
        <w:rPr>
          <w:sz w:val="19"/>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pStyle w:val="SECFORM10QText"/>
        <w:spacing w:before="0" w:after="0"/>
        <w:rPr>
          <w:rFonts w:ascii="Times New Roman" w:hAnsi="Times New Roman" w:cs="Times New Roman"/>
          <w:b/>
          <w:smallCaps/>
          <w:sz w:val="16"/>
        </w:rPr>
      </w:pPr>
      <w:r>
        <w:rPr>
          <w:sz w:val="19"/>
        </w:rPr>
        <w:t xml:space="preserve">Yes  </w:t>
      </w:r>
      <w:r>
        <w:rPr>
          <w:b/>
          <w:sz w:val="19"/>
        </w:rPr>
        <w:t>[</w:t>
      </w:r>
      <w:r>
        <w:rPr>
          <w:rFonts w:cs="Times New Roman" w:ascii="Times New Roman" w:hAnsi="Times New Roman"/>
          <w:b/>
          <w:smallCaps/>
          <w:sz w:val="19"/>
        </w:rPr>
        <w:t>X]</w:t>
      </w:r>
      <w:r>
        <w:rPr>
          <w:sz w:val="19"/>
        </w:rPr>
        <w:tab/>
        <w:t xml:space="preserve">No  </w:t>
      </w:r>
      <w:r>
        <w:rPr>
          <w:rFonts w:cs="Times New Roman" w:ascii="Times New Roman" w:hAnsi="Times New Roman"/>
          <w:b/>
          <w:smallCaps/>
          <w:sz w:val="19"/>
        </w:rPr>
        <w:t>[   ]</w:t>
      </w:r>
    </w:p>
    <w:p>
      <w:pPr>
        <w:pStyle w:val="SECFORM10QText"/>
        <w:spacing w:before="0" w:after="0"/>
        <w:rPr>
          <w:rFonts w:ascii="Times New Roman" w:hAnsi="Times New Roman" w:cs="Times New Roman"/>
          <w:b/>
          <w:smallCaps/>
          <w:sz w:val="16"/>
        </w:rPr>
      </w:pPr>
      <w:r>
        <w:rPr>
          <w:rFonts w:cs="Times New Roman" w:ascii="Times New Roman" w:hAnsi="Times New Roman"/>
          <w:b/>
          <w:smallCaps/>
          <w:sz w:val="16"/>
        </w:rPr>
      </w:r>
    </w:p>
    <w:p>
      <w:pPr>
        <w:pStyle w:val="SECFORM10QText"/>
        <w:tabs>
          <w:tab w:val="clear" w:pos="720"/>
          <w:tab w:val="left" w:pos="7380" w:leader="none"/>
          <w:tab w:val="right" w:pos="7560" w:leader="none"/>
          <w:tab w:val="left" w:pos="7830" w:leader="none"/>
        </w:tabs>
        <w:rPr>
          <w:sz w:val="16"/>
          <w:u w:val="single"/>
        </w:rPr>
      </w:pPr>
      <w:r>
        <w:rPr>
          <w:sz w:val="19"/>
        </w:rPr>
        <w:t xml:space="preserve">Indicate by check mark if disclosure of delinquent filers pursuant to Item 405 of Regulation S-K is not contained herein, and will not be contained, to the best of registrant’s knowledge, in definitive proxy or information statements incorporated by reference in Part III of this Form 10-K or any amendment to this Form 10-K.  </w:t>
      </w:r>
      <w:r>
        <w:rPr>
          <w:sz w:val="19"/>
          <w:u w:val="single"/>
        </w:rPr>
        <w:t xml:space="preserve"> </w:t>
        <w:tab/>
      </w:r>
    </w:p>
    <w:p>
      <w:pPr>
        <w:pStyle w:val="SECFORM10QText"/>
        <w:tabs>
          <w:tab w:val="clear" w:pos="720"/>
          <w:tab w:val="left" w:pos="360" w:leader="none"/>
        </w:tabs>
        <w:ind w:hanging="0" w:end="0"/>
        <w:rPr>
          <w:sz w:val="16"/>
        </w:rPr>
      </w:pPr>
      <w:r>
        <w:rPr>
          <w:sz w:val="19"/>
        </w:rPr>
        <w:tab/>
        <w:t>Aggregate market value of the voting stock held by non-affiliates of the registrant, based on closing prices in the daily composite list for transactions on the New York Stock Exchange on February __, 2000, was approximately $_______________.  As of March __, 2000, there were ___________ shares of registrant’s Common Stock, no par value, outstanding.</w:t>
      </w:r>
    </w:p>
    <w:p>
      <w:pPr>
        <w:pStyle w:val="SECFORM10QText"/>
        <w:tabs>
          <w:tab w:val="clear" w:pos="720"/>
          <w:tab w:val="left" w:pos="360" w:leader="none"/>
        </w:tabs>
        <w:ind w:hanging="0" w:end="0"/>
        <w:rPr/>
      </w:pPr>
      <w:r>
        <w:rPr>
          <w:sz w:val="19"/>
        </w:rPr>
        <w:tab/>
      </w:r>
      <w:r>
        <w:rPr>
          <w:b/>
          <w:sz w:val="19"/>
        </w:rPr>
        <w:t>Documents incorporated by reference.</w:t>
      </w:r>
      <w:r>
        <w:rPr>
          <w:sz w:val="19"/>
        </w:rPr>
        <w:t xml:space="preserve">  Certain portions of the registrant’s definitive Proxy Statement for the </w:t>
      </w:r>
      <w:r>
        <w:rPr/>
        <w:t>May 2</w:t>
      </w:r>
      <w:r>
        <w:rPr>
          <w:sz w:val="19"/>
        </w:rPr>
        <w:t>, 2000 Annual Meeting of Shareholders (“Proxy Statement”) are incorporated herein by reference in Part III of this Form 10-K.</w:t>
      </w:r>
      <w:r>
        <w:br w:type="page"/>
      </w:r>
    </w:p>
    <w:p>
      <w:pPr>
        <w:pStyle w:val="Normal"/>
        <w:tabs>
          <w:tab w:val="clear" w:pos="720"/>
          <w:tab w:val="center" w:pos="4680" w:leader="none"/>
        </w:tabs>
        <w:suppressAutoHyphens w:val="true"/>
        <w:jc w:val="center"/>
        <w:rPr>
          <w:rFonts w:ascii="Courier New" w:hAnsi="Courier New" w:cs="Courier New"/>
          <w:b/>
          <w:spacing w:val="-2"/>
          <w:sz w:val="19"/>
        </w:rPr>
      </w:pPr>
      <w:r>
        <w:rPr>
          <w:rFonts w:cs="Courier New" w:ascii="Courier New" w:hAnsi="Courier New"/>
          <w:b/>
          <w:spacing w:val="-2"/>
          <w:sz w:val="19"/>
        </w:rPr>
      </w:r>
    </w:p>
    <w:p>
      <w:pPr>
        <w:pStyle w:val="Normal"/>
        <w:tabs>
          <w:tab w:val="clear" w:pos="720"/>
          <w:tab w:val="center" w:pos="4680" w:leader="none"/>
        </w:tabs>
        <w:suppressAutoHyphens w:val="true"/>
        <w:jc w:val="center"/>
        <w:rPr>
          <w:rFonts w:ascii="Courier New" w:hAnsi="Courier New" w:cs="Courier New"/>
          <w:spacing w:val="-2"/>
        </w:rPr>
      </w:pPr>
      <w:r>
        <w:rPr>
          <w:rFonts w:cs="Courier New" w:ascii="Courier New" w:hAnsi="Courier New"/>
          <w:b/>
          <w:spacing w:val="-2"/>
        </w:rPr>
        <w:t>TABLE OF CONTENTS</w:t>
      </w:r>
    </w:p>
    <w:p>
      <w:pPr>
        <w:pStyle w:val="Normal"/>
        <w:tabs>
          <w:tab w:val="clear" w:pos="720"/>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jc w:val="center"/>
        <w:rPr>
          <w:rFonts w:ascii="Courier New" w:hAnsi="Courier New" w:cs="Courier New"/>
          <w:spacing w:val="-2"/>
        </w:rPr>
      </w:pPr>
      <w:r>
        <w:rPr>
          <w:rFonts w:cs="Courier New" w:ascii="Courier New" w:hAnsi="Courier New"/>
          <w:b/>
          <w:spacing w:val="-2"/>
        </w:rPr>
        <w:t>PART I</w:t>
      </w:r>
    </w:p>
    <w:p>
      <w:pPr>
        <w:pStyle w:val="Normal"/>
        <w:tabs>
          <w:tab w:val="clear" w:pos="720"/>
          <w:tab w:val="left" w:pos="-720" w:leader="none"/>
          <w:tab w:val="left" w:pos="8820" w:leader="none"/>
        </w:tabs>
        <w:suppressAutoHyphens w:val="true"/>
        <w:jc w:val="both"/>
        <w:rPr>
          <w:rFonts w:ascii="Courier New" w:hAnsi="Courier New" w:cs="Courier New"/>
          <w:spacing w:val="-2"/>
        </w:rPr>
      </w:pPr>
      <w:r>
        <w:rPr>
          <w:rFonts w:cs="Courier New" w:ascii="Courier New" w:hAnsi="Courier New"/>
          <w:spacing w:val="-2"/>
        </w:rPr>
        <w:tab/>
        <w:t>Page</w:t>
      </w:r>
    </w:p>
    <w:p>
      <w:pPr>
        <w:pStyle w:val="Normal"/>
        <w:tabs>
          <w:tab w:val="clear" w:pos="720"/>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1.  Business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 xml:space="preserve">General  </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Business Segments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Transportation and Distribution</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ab/>
        <w:t>Interstate Transmission of Natural Gas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ab/>
        <w:t>Electricity Transmission and Distribution Operations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Wholesale Energy Operations and Services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ab/>
        <w:t>Developed Markets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ab/>
        <w:t>Developing and Deregulating Markets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ab/>
        <w:t>Enron Broadband Services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Retail Energy Services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Other Enron Businesses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Regulation</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Revenues by Business Segment</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Current Executive Officers of the Registrant</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2.  Properties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Natural Gas Transmission</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International Power Plants and Pipelines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Electric Utility Properties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Oil and Gas Exploration and Production Properties</w:t>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ab/>
        <w:t>and Reserves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3.  Legal Proceedings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4.  Submission of Matters to a Vote of Security Holders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center"/>
        <w:rPr>
          <w:rFonts w:ascii="Courier New" w:hAnsi="Courier New" w:cs="Courier New"/>
          <w:spacing w:val="-2"/>
        </w:rPr>
      </w:pPr>
      <w:r>
        <w:rPr>
          <w:rFonts w:cs="Courier New" w:ascii="Courier New" w:hAnsi="Courier New"/>
          <w:b/>
          <w:spacing w:val="-2"/>
        </w:rPr>
        <w:t>PART II</w:t>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5.  Market for the Registrant's Common Equity</w:t>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ab/>
        <w:t>and Related Shareholder Matters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6.  Selected Financial Data (Unaudited)</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7.  Management's Discussion and Analysis of</w:t>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ab/>
        <w:t>Financial Condition and Results of Operations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7A. Financial Risk Management</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pPr>
      <w:r>
        <w:rPr>
          <w:rFonts w:cs="Courier New" w:ascii="Courier New" w:hAnsi="Courier New"/>
          <w:spacing w:val="-2"/>
        </w:rPr>
        <w:tab/>
      </w:r>
      <w:r>
        <w:rPr>
          <w:rFonts w:cs="Courier New" w:ascii="Courier New" w:hAnsi="Courier New"/>
          <w:b/>
          <w:spacing w:val="-2"/>
        </w:rPr>
        <w:t>Information Regarding Forward Looking Statements</w:t>
      </w:r>
      <w:r>
        <w:rPr>
          <w:rFonts w:cs="Courier New" w:ascii="Courier New" w:hAnsi="Courier New"/>
          <w:spacing w:val="-2"/>
        </w:rPr>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8.  Financial Statements and Supplementary Data</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9.  Disagreements on Accounting and Financial Disclosure</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center"/>
        <w:rPr>
          <w:rFonts w:ascii="Courier New" w:hAnsi="Courier New" w:cs="Courier New"/>
          <w:spacing w:val="-2"/>
        </w:rPr>
      </w:pPr>
      <w:r>
        <w:rPr>
          <w:rFonts w:cs="Courier New" w:ascii="Courier New" w:hAnsi="Courier New"/>
          <w:b/>
          <w:spacing w:val="-2"/>
        </w:rPr>
        <w:t>PART III</w:t>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10. Directors and Executive Officers of the Registrant</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11. Executive Compensation</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12. Security Ownership of Certain Beneficial Owners</w:t>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ab/>
        <w:t>and Management</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13. Certain Relationships and Related Transactions</w:t>
        <w:tab/>
        <w:tab/>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center"/>
        <w:rPr>
          <w:rFonts w:ascii="Courier New" w:hAnsi="Courier New" w:cs="Courier New"/>
          <w:spacing w:val="-2"/>
        </w:rPr>
      </w:pPr>
      <w:r>
        <w:rPr>
          <w:rFonts w:cs="Courier New" w:ascii="Courier New" w:hAnsi="Courier New"/>
          <w:b/>
          <w:spacing w:val="-2"/>
        </w:rPr>
        <w:t>PART IV</w:t>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Item 14. Exhibits, Financial Statement Schedules, and</w:t>
      </w:r>
    </w:p>
    <w:p>
      <w:pPr>
        <w:sectPr>
          <w:footerReference w:type="default" r:id="rId2"/>
          <w:type w:val="nextPage"/>
          <w:pgSz w:w="12240" w:h="15840"/>
          <w:pgMar w:left="1440" w:right="1440" w:gutter="0" w:header="0" w:top="317" w:footer="115" w:bottom="317"/>
          <w:pgNumType w:fmt="decimal"/>
          <w:formProt w:val="false"/>
          <w:textDirection w:val="lrTb"/>
          <w:docGrid w:type="default" w:linePitch="360" w:charSpace="0"/>
        </w:sectPr>
        <w:pStyle w:val="Normal"/>
        <w:tabs>
          <w:tab w:val="clear" w:pos="720"/>
          <w:tab w:val="left" w:pos="1440" w:leader="none"/>
          <w:tab w:val="left" w:pos="1800" w:leader="none"/>
          <w:tab w:val="right" w:pos="8400" w:leader="dot"/>
          <w:tab w:val="right" w:pos="9120" w:leader="none"/>
          <w:tab w:val="right" w:pos="9600" w:leader="none"/>
        </w:tabs>
        <w:suppressAutoHyphens w:val="true"/>
        <w:jc w:val="both"/>
        <w:rPr>
          <w:rFonts w:ascii="Courier New" w:hAnsi="Courier New" w:cs="Courier New"/>
          <w:spacing w:val="-2"/>
        </w:rPr>
      </w:pPr>
      <w:r>
        <w:rPr>
          <w:rFonts w:cs="Courier New" w:ascii="Courier New" w:hAnsi="Courier New"/>
          <w:spacing w:val="-2"/>
        </w:rPr>
        <w:tab/>
        <w:tab/>
        <w:t>Reports on Form 8-K</w:t>
        <w:tab/>
        <w:tab/>
      </w:r>
    </w:p>
    <w:p>
      <w:pPr>
        <w:pStyle w:val="Normal"/>
        <w:tabs>
          <w:tab w:val="clear" w:pos="720"/>
          <w:tab w:val="center" w:pos="4680" w:leader="none"/>
        </w:tabs>
        <w:suppressAutoHyphens w:val="true"/>
        <w:jc w:val="center"/>
        <w:rPr>
          <w:rFonts w:ascii="Courier New" w:hAnsi="Courier New" w:cs="Courier New"/>
          <w:b/>
          <w:spacing w:val="-2"/>
        </w:rPr>
      </w:pPr>
      <w:r>
        <w:rPr>
          <w:rFonts w:cs="Courier New" w:ascii="Courier New" w:hAnsi="Courier New"/>
          <w:b/>
          <w:spacing w:val="-2"/>
        </w:rPr>
      </w:r>
    </w:p>
    <w:p>
      <w:pPr>
        <w:pStyle w:val="Normal"/>
        <w:tabs>
          <w:tab w:val="clear" w:pos="720"/>
          <w:tab w:val="center" w:pos="4680" w:leader="none"/>
        </w:tabs>
        <w:suppressAutoHyphens w:val="true"/>
        <w:jc w:val="center"/>
        <w:rPr>
          <w:rFonts w:ascii="Courier New" w:hAnsi="Courier New" w:cs="Courier New"/>
          <w:b/>
          <w:spacing w:val="-2"/>
        </w:rPr>
      </w:pPr>
      <w:r>
        <w:rPr>
          <w:rFonts w:cs="Courier New" w:ascii="Courier New" w:hAnsi="Courier New"/>
          <w:b/>
          <w:spacing w:val="-2"/>
        </w:rPr>
      </w:r>
    </w:p>
    <w:p>
      <w:pPr>
        <w:pStyle w:val="Normal"/>
        <w:tabs>
          <w:tab w:val="clear" w:pos="720"/>
          <w:tab w:val="center" w:pos="4680" w:leader="none"/>
        </w:tabs>
        <w:suppressAutoHyphens w:val="true"/>
        <w:jc w:val="center"/>
        <w:rPr>
          <w:rFonts w:ascii="Courier New" w:hAnsi="Courier New" w:cs="Courier New"/>
          <w:b/>
          <w:spacing w:val="-2"/>
        </w:rPr>
      </w:pPr>
      <w:r>
        <w:rPr>
          <w:rFonts w:cs="Courier New" w:ascii="Courier New" w:hAnsi="Courier New"/>
          <w:b/>
          <w:spacing w:val="-2"/>
        </w:rPr>
        <w:t>PART I</w:t>
      </w:r>
    </w:p>
    <w:p>
      <w:pPr>
        <w:pStyle w:val="Normal"/>
        <w:tabs>
          <w:tab w:val="left" w:pos="720"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b/>
          <w:spacing w:val="-2"/>
        </w:rPr>
        <w:t>Item 1. BUSINESS</w:t>
      </w:r>
    </w:p>
    <w:p>
      <w:pPr>
        <w:pStyle w:val="Normal"/>
        <w:tabs>
          <w:tab w:val="clear" w:pos="720"/>
          <w:tab w:val="center" w:pos="4680" w:leader="none"/>
        </w:tabs>
        <w:suppressAutoHyphens w:val="true"/>
        <w:jc w:val="center"/>
        <w:rPr>
          <w:rFonts w:ascii="Courier New" w:hAnsi="Courier New" w:cs="Courier New"/>
          <w:spacing w:val="-2"/>
        </w:rPr>
      </w:pPr>
      <w:r>
        <w:rPr>
          <w:rFonts w:cs="Courier New" w:ascii="Courier New" w:hAnsi="Courier New"/>
          <w:b/>
          <w:spacing w:val="-2"/>
        </w:rPr>
        <w:t>GENERAL</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Enron Corp., an Oregon corporation, is an international integrated natural gas, electricity and communications company with headquarters in Houston, Texas.  Enron's operations are conducted through its subsidiaries and affiliates which are principally engaged in the transportation of natural gas through pipelines to markets throughout the United States; the generation and transmission of electricity to markets in the northwestern United States; the marketing of natural gas, electricity and other commodities and related risk management and finance services worldwide; the development, construction and operation of power plants, pipelines and other energy related assets worldwide; and the delivery of high bandwidth communication applications throughout the United States.  As of December 31, 1999, Enron employed approximately _______ persons.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As used herein, unless the context indicates otherwise, "Enron" refers to Enron Corp. and its subsidiaries and affiliates.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jc w:val="center"/>
        <w:rPr>
          <w:rFonts w:ascii="Courier New" w:hAnsi="Courier New" w:cs="Courier New"/>
          <w:spacing w:val="-2"/>
        </w:rPr>
      </w:pPr>
      <w:r>
        <w:rPr>
          <w:rFonts w:cs="Courier New" w:ascii="Courier New" w:hAnsi="Courier New"/>
          <w:b/>
          <w:spacing w:val="-2"/>
        </w:rPr>
        <w:t>BUSINESS SEGMENTS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Enron has divided its operations into the following reportable segments, based on similarities in economic characteristics, products and services, types of customers, methods of distributions and regulatory environment.</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pPr>
      <w:r>
        <w:rPr>
          <w:rFonts w:cs="Courier New" w:ascii="Courier New" w:hAnsi="Courier New"/>
          <w:spacing w:val="-2"/>
        </w:rPr>
        <w:tab/>
      </w:r>
      <w:r>
        <w:rPr>
          <w:rFonts w:cs="Courier New" w:ascii="Courier New" w:hAnsi="Courier New"/>
          <w:i/>
          <w:spacing w:val="-2"/>
        </w:rPr>
        <w:t>Transportation and Distribution</w:t>
      </w:r>
      <w:r>
        <w:rPr>
          <w:rFonts w:cs="Courier New" w:ascii="Courier New" w:hAnsi="Courier New"/>
          <w:spacing w:val="-2"/>
        </w:rPr>
        <w:t xml:space="preserve"> – Regulated industries; interstate transmission of natural gas; management and operation of pipelines; electric utility operations.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pPr>
      <w:r>
        <w:rPr>
          <w:rFonts w:cs="Courier New" w:ascii="Courier New" w:hAnsi="Courier New"/>
          <w:spacing w:val="-2"/>
        </w:rPr>
        <w:tab/>
      </w:r>
      <w:r>
        <w:rPr>
          <w:rFonts w:cs="Courier New" w:ascii="Courier New" w:hAnsi="Courier New"/>
          <w:i/>
          <w:spacing w:val="-2"/>
        </w:rPr>
        <w:t>Wholesale Energy Operations and Services</w:t>
      </w:r>
      <w:r>
        <w:rPr>
          <w:rFonts w:cs="Courier New" w:ascii="Courier New" w:hAnsi="Courier New"/>
          <w:spacing w:val="-2"/>
        </w:rPr>
        <w:t xml:space="preserve"> – Energy commodity sales and services, risk management products and financial services to wholesale customers; development, acquisition and operation of power plants, natural gas pipelines and other energy-related and communications assets including broadband services.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pPr>
      <w:r>
        <w:rPr>
          <w:rFonts w:cs="Courier New" w:ascii="Courier New" w:hAnsi="Courier New"/>
          <w:spacing w:val="-2"/>
        </w:rPr>
        <w:tab/>
      </w:r>
      <w:r>
        <w:rPr>
          <w:rFonts w:cs="Courier New" w:ascii="Courier New" w:hAnsi="Courier New"/>
          <w:i/>
          <w:spacing w:val="-2"/>
        </w:rPr>
        <w:t>Retail Energy Services</w:t>
      </w:r>
      <w:r>
        <w:rPr>
          <w:rFonts w:cs="Courier New" w:ascii="Courier New" w:hAnsi="Courier New"/>
          <w:spacing w:val="-2"/>
        </w:rPr>
        <w:t xml:space="preserve"> – Sales of natural gas and electricity directly to end-use customers, particularly in the commercial and industrial sectors, including the outsourcing of energy-related activities;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pPr>
      <w:r>
        <w:rPr>
          <w:rFonts w:cs="Courier New" w:ascii="Courier New" w:hAnsi="Courier New"/>
          <w:spacing w:val="-2"/>
        </w:rPr>
        <w:tab/>
      </w:r>
      <w:r>
        <w:rPr>
          <w:rFonts w:cs="Courier New" w:ascii="Courier New" w:hAnsi="Courier New"/>
          <w:i/>
          <w:spacing w:val="-2"/>
        </w:rPr>
        <w:t>Exploration and Production</w:t>
      </w:r>
      <w:r>
        <w:rPr>
          <w:rFonts w:cs="Courier New" w:ascii="Courier New" w:hAnsi="Courier New"/>
          <w:spacing w:val="-2"/>
        </w:rPr>
        <w:t xml:space="preserve"> – Natural gas and crude oil exploration and production primarily in the United States, Canada, Trinidad and India until August 16, 1999.</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pPr>
      <w:r>
        <w:rPr>
          <w:rFonts w:cs="Courier New" w:ascii="Courier New" w:hAnsi="Courier New"/>
          <w:spacing w:val="-2"/>
        </w:rPr>
        <w:tab/>
      </w:r>
      <w:r>
        <w:rPr>
          <w:rFonts w:cs="Courier New" w:ascii="Courier New" w:hAnsi="Courier New"/>
          <w:i/>
          <w:spacing w:val="-2"/>
        </w:rPr>
        <w:t>Corporate and Other</w:t>
      </w:r>
      <w:r>
        <w:rPr>
          <w:rFonts w:cs="Courier New" w:ascii="Courier New" w:hAnsi="Courier New"/>
          <w:spacing w:val="-2"/>
        </w:rPr>
        <w:t xml:space="preserve"> – Includes operation of water and renewable energy businesses as well as clean fuels plants.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For financial information by business segment for the fiscal years ended December 31, 1997 through December 31, 1999, please see Note 20 to the Consolidated Financial Statements on page F-__.</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850" w:leader="none"/>
          <w:tab w:val="right" w:pos="7650" w:leader="none"/>
          <w:tab w:val="right" w:pos="927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850" w:leader="none"/>
          <w:tab w:val="right" w:pos="7650" w:leader="none"/>
          <w:tab w:val="right" w:pos="9270" w:leader="none"/>
        </w:tabs>
        <w:suppressAutoHyphens w:val="true"/>
        <w:jc w:val="both"/>
        <w:rPr>
          <w:rFonts w:ascii="Courier New" w:hAnsi="Courier New" w:cs="Courier New"/>
          <w:spacing w:val="-2"/>
        </w:rPr>
      </w:pPr>
      <w:r>
        <w:rPr>
          <w:rFonts w:cs="Courier New" w:ascii="Courier New" w:hAnsi="Courier New"/>
          <w:spacing w:val="-2"/>
        </w:rPr>
      </w:r>
    </w:p>
    <w:p>
      <w:pPr>
        <w:pStyle w:val="Normal"/>
        <w:keepNext w:val="true"/>
        <w:keepLines/>
        <w:tabs>
          <w:tab w:val="clear" w:pos="720"/>
          <w:tab w:val="center" w:pos="4680" w:leader="none"/>
        </w:tabs>
        <w:suppressAutoHyphens w:val="true"/>
        <w:jc w:val="center"/>
        <w:rPr>
          <w:rFonts w:ascii="Courier New" w:hAnsi="Courier New" w:cs="Courier New"/>
          <w:b/>
          <w:spacing w:val="-2"/>
        </w:rPr>
      </w:pPr>
      <w:r>
        <w:rPr>
          <w:rFonts w:cs="Courier New" w:ascii="Courier New" w:hAnsi="Courier New"/>
          <w:b/>
          <w:spacing w:val="-2"/>
        </w:rPr>
      </w:r>
    </w:p>
    <w:p>
      <w:pPr>
        <w:pStyle w:val="Normal"/>
        <w:keepNext w:val="true"/>
        <w:keepLines/>
        <w:tabs>
          <w:tab w:val="clear" w:pos="720"/>
          <w:tab w:val="center" w:pos="4680" w:leader="none"/>
        </w:tabs>
        <w:suppressAutoHyphens w:val="true"/>
        <w:jc w:val="center"/>
        <w:rPr>
          <w:rFonts w:ascii="Courier New" w:hAnsi="Courier New" w:cs="Courier New"/>
          <w:spacing w:val="-2"/>
        </w:rPr>
      </w:pPr>
      <w:r>
        <w:rPr>
          <w:rFonts w:cs="Courier New" w:ascii="Courier New" w:hAnsi="Courier New"/>
          <w:b/>
          <w:spacing w:val="-2"/>
        </w:rPr>
        <w:t>TRANSPORTATION AND DISTRIBUTION</w:t>
      </w:r>
    </w:p>
    <w:p>
      <w:pPr>
        <w:pStyle w:val="Normal"/>
        <w:keepNext w:val="true"/>
        <w:keepLines/>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keepNext w:val="true"/>
        <w:keepLines/>
        <w:tabs>
          <w:tab w:val="left" w:pos="720" w:leader="none"/>
        </w:tabs>
        <w:suppressAutoHyphens w:val="true"/>
        <w:jc w:val="both"/>
        <w:rPr>
          <w:rFonts w:ascii="Courier New" w:hAnsi="Courier New" w:cs="Courier New"/>
          <w:spacing w:val="-2"/>
        </w:rPr>
      </w:pPr>
      <w:r>
        <w:rPr>
          <w:rFonts w:cs="Courier New" w:ascii="Courier New" w:hAnsi="Courier New"/>
          <w:spacing w:val="-2"/>
        </w:rPr>
        <w:tab/>
        <w:t>Enron’s Transportation and Distribution business is comprised of the company’s North American interstate natural gas transportation systems and its electricity transmission and distribution operations in Oregon.</w:t>
      </w:r>
    </w:p>
    <w:p>
      <w:pPr>
        <w:pStyle w:val="Normal"/>
        <w:keepNext w:val="true"/>
        <w:keepLines/>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keepNext w:val="true"/>
        <w:keepLines/>
        <w:tabs>
          <w:tab w:val="left" w:pos="720" w:leader="none"/>
        </w:tabs>
        <w:suppressAutoHyphens w:val="true"/>
        <w:jc w:val="both"/>
        <w:rPr>
          <w:rFonts w:ascii="Courier New" w:hAnsi="Courier New" w:cs="Courier New"/>
          <w:spacing w:val="-2"/>
        </w:rPr>
      </w:pPr>
      <w:r>
        <w:rPr>
          <w:rFonts w:cs="Courier New" w:ascii="Courier New" w:hAnsi="Courier New"/>
          <w:b/>
          <w:spacing w:val="-2"/>
        </w:rPr>
        <w:t>Interstate Transmission of Natural Gas</w:t>
      </w:r>
    </w:p>
    <w:p>
      <w:pPr>
        <w:pStyle w:val="Normal"/>
        <w:keepNext w:val="true"/>
        <w:keepLines/>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Enron and its subsidiaries operate domestic interstate natural gas pipelines extending from Texas to the Canadian border and across the southern United States from Florida to California.  Included in Enron's domestic interstate natural gas pipeline operations are Northern Natural Gas Company ("Northern"), Transwestern Pipeline Company ("Transwestern") and Florida Gas Transmission Company ("Florida Gas") (indirectly 50% owned by Enron).  Northern, Transwestern and Florida Gas are interstate pipelines and are subject to the regulatory jurisdiction of the Federal Energy Regulatory Commission (the "FERC").  Each pipeline serves customers in a specific geographical area:  Northern, the upper Midwest; Transwestern, principally the California market and pipeline interconnects on the east end of the Transwestern system; and Florida Gas, the State of Florida.  In addition, Enron holds an interest in Northern Border Partners, L.P., which owns a 70% interest in the Northern Border Pipeline system.  An Enron subsidiary operates the Northern Border Pipeline system, which transports gas from Western Canada to delivery points in the midwestern United States.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pPr>
      <w:r>
        <w:rPr>
          <w:rFonts w:cs="Courier New" w:ascii="Courier New" w:hAnsi="Courier New"/>
          <w:b/>
          <w:spacing w:val="-2"/>
        </w:rPr>
        <w:tab/>
      </w:r>
      <w:r>
        <w:rPr>
          <w:rFonts w:cs="Courier New" w:ascii="Courier New" w:hAnsi="Courier New"/>
          <w:b/>
          <w:spacing w:val="-2"/>
          <w:u w:val="single"/>
        </w:rPr>
        <w:t>Northern Natural Gas Company</w:t>
      </w:r>
      <w:r>
        <w:rPr>
          <w:rFonts w:cs="Courier New" w:ascii="Courier New" w:hAnsi="Courier New"/>
          <w:spacing w:val="-2"/>
        </w:rPr>
        <w:t>.  Through its approximately 17,000-mile natural gas pipeline system stretching from Texas to Michigan's Upper Peninsula, Northern transports natural gas to points in its traditional market area of Illinois, Iowa, Kansas, Michigan, Minnesota, Nebraska, South Dakota and Wisconsin.  Gas is transported to town border stations for consumption and resale by non-affiliated gas utilities and municipalities and to other pipeline companies and gas marketers.  Northern also transports gas at various points outside its traditional market area in the production areas of Colorado, Kansas, New Mexico, Oklahoma, Texas and Wyoming for utilities, end-users and other pipeline and marketing companies.  Northern provides transportation and storage services to approximately 90 utility customers and end-users in the upper midwestern United States.  Most of Northern’s revenues are comprised of monthly demand charges that are based on contracted capacity rather than throughput.</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pPr>
      <w:r>
        <w:rPr>
          <w:rFonts w:cs="Courier New" w:ascii="Courier New" w:hAnsi="Courier New"/>
          <w:spacing w:val="-2"/>
        </w:rPr>
        <w:tab/>
        <w:t xml:space="preserve">In Northern's market area, natural gas is an energy source available for traditional residential, commercial and industrial uses.  Northern's throughput totaled _____ trillion British thermal units ("Tbtu") in 1999, compared to 1,496 Tbtu in 1998.  This slight decrease was due primarily to </w:t>
      </w:r>
      <w:r>
        <w:rPr>
          <w:rFonts w:cs="Courier New" w:ascii="Courier New" w:hAnsi="Courier New"/>
          <w:b/>
          <w:spacing w:val="-2"/>
        </w:rPr>
        <w:t>[</w:t>
      </w:r>
      <w:r>
        <w:rPr>
          <w:rFonts w:cs="Courier New" w:ascii="Courier New" w:hAnsi="Courier New"/>
          <w:spacing w:val="-2"/>
        </w:rPr>
        <w:t>a warmer than normal winter in Northern’s service territory in 1999.</w:t>
      </w:r>
      <w:r>
        <w:rPr>
          <w:rFonts w:cs="Courier New" w:ascii="Courier New" w:hAnsi="Courier New"/>
          <w:b/>
          <w:spacing w:val="-2"/>
        </w:rPr>
        <w:t>]</w:t>
      </w:r>
    </w:p>
    <w:p>
      <w:pPr>
        <w:pStyle w:val="Normal"/>
        <w:tabs>
          <w:tab w:val="left" w:pos="720"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left" w:pos="720" w:leader="none"/>
        </w:tabs>
        <w:suppressAutoHyphens w:val="true"/>
        <w:jc w:val="both"/>
        <w:rPr/>
      </w:pPr>
      <w:r>
        <w:rPr>
          <w:rFonts w:cs="Courier New" w:ascii="Courier New" w:hAnsi="Courier New"/>
          <w:spacing w:val="-2"/>
        </w:rPr>
        <w:tab/>
        <w:t xml:space="preserve">In 1999, Northern maintained its existing customer base in an increasingly competitive market while initiating expansion projects to meet increased market demand and to increase Northern’s market presence.  Northern completed the first phase of a five-year, $113 million growth plan to expand incremental firm capacity into Iowa, Wisconsin and Minnesota by approximately 350 MMcf of natural gas per day.  This expansion is fully subscribed with five-year to ten-year firm transportation contracts.  In addition, Northern has several smaller service expansions underway which are expected to be in service in late 1999 </w:t>
      </w:r>
      <w:r>
        <w:rPr>
          <w:rFonts w:cs="Courier New" w:ascii="Courier New" w:hAnsi="Courier New"/>
          <w:b/>
          <w:spacing w:val="-2"/>
        </w:rPr>
        <w:t>[UPDATE]</w:t>
      </w:r>
      <w:r>
        <w:rPr>
          <w:rFonts w:cs="Courier New" w:ascii="Courier New" w:hAnsi="Courier New"/>
          <w:spacing w:val="-2"/>
        </w:rPr>
        <w:t>.</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Northern also operates three natural gas storage facilities and two liquefied natural gas storage peaking units.  These storage facilities provide Northern the operational capacity to balance its system on a daily basis and assist in meeting customers’ heating season system requirements.  Northern competes with other interstate pipelines in the transportation and storage of natural gas.  In addition, the FERC continues its efforts to introduce more competition into the natural gas industry, having the effect of increasing transportation and purchase options of Northern’s traditional customer base.  See "Regulation - Natural Gas Rates and Regulations".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pPr>
      <w:r>
        <w:rPr>
          <w:rFonts w:cs="Courier New" w:ascii="Courier New" w:hAnsi="Courier New"/>
          <w:b/>
          <w:spacing w:val="-2"/>
        </w:rPr>
        <w:tab/>
      </w:r>
      <w:r>
        <w:rPr>
          <w:rFonts w:cs="Courier New" w:ascii="Courier New" w:hAnsi="Courier New"/>
          <w:b/>
          <w:spacing w:val="-2"/>
          <w:u w:val="single"/>
        </w:rPr>
        <w:t>Transwestern Pipeline Company</w:t>
      </w:r>
      <w:r>
        <w:rPr>
          <w:rFonts w:cs="Courier New" w:ascii="Courier New" w:hAnsi="Courier New"/>
          <w:spacing w:val="-2"/>
        </w:rPr>
        <w:t>.  Transwestern is an interstate pipeline engaged in the transportation of natural gas.  Through its approximately 2,700-mile pipeline system, Transwestern transports natural gas from West Texas, Oklahoma, eastern New Mexico and the San Juan Basin in northwestern New Mexico and southern Colorado primarily to the California market and to markets off the east end of its system.  Transwestern has access to three significant gas basins for its gas supply: the San Juan Basin, the Permian Basin in West Texas and eastern New Mexico and the Anadarko Basin in the Texas and Oklahoma Panhandles. Transwestern’s peak delivery capacity was approximately ____ Bcf per day in 1999.  Substantially all of Transwestern's delivery capacity to California was held by shippers on a firm basis until November 1, 1996, when approximately 450 MMcf per day of firm capacity was turned back to Transwestern by a major customer. Anticipating this turnback, Transwestern entered into a settlement agreement with its customers whereby the costs associated with this turnback are shared by Transwestern and its Current Firm Customers, as defined in the settlement agreement.  Transwestern is responsible for 70% of the risk of resubscribing the released capacity, and Transwestern's customers have the remaining 30% of such risk through 2001.  In addition to this cost-sharing mechanism, Transwestern and its current firm customers also agreed to contract rates through 2006 and agreed that Transwestern would not be required to file a new rate case for rates to be effective prior to November 1, 2006.</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Transwestern's mainline includes a lateral pipeline to the San Juan Basin which allows Transwestern to access San Juan Basin gas supplies.  Via Transwestern’s San Juan lateral pipeline, the San Juan Basin gas may be delivered to California markets as well as markets off the east end of Transwestern’s system.  This bi-directional flow capability enhances pipeline utilization.  Transwestern is currently negotiating with customers to expand the system from San Juan to California.  Since adding bi-directional capability in 1995, Transwestern has reestablished its volumes flowing into the previously oversupplied California market. Total throughput volumes to California averaged approximately ____ MMcf per day in 1999, compared to 889 MMcf per day in 1998. Transwestern has firm transportation service on the east end of its system and transports Permian, Anadarko and San Juan Basin supplies into Texas, Oklahoma and the midwestern United States.  Transwestern previously made certain modifications to its mainline system which increased the volumes flowing from the San Juan Basin to the east end of the Transwestern system. Transwestern transported an average of ____ MMcf per day off the east end of its system in 1999, as compared to 489 MMcf per day in 1998.</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Transwestern competes with several interstate pipelines in the California market and its markets off the east end of its system.</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pPr>
      <w:r>
        <w:rPr>
          <w:rFonts w:cs="Courier New" w:ascii="Courier New" w:hAnsi="Courier New"/>
          <w:b/>
          <w:spacing w:val="-2"/>
        </w:rPr>
        <w:tab/>
      </w:r>
      <w:r>
        <w:rPr>
          <w:rFonts w:cs="Courier New" w:ascii="Courier New" w:hAnsi="Courier New"/>
          <w:b/>
          <w:spacing w:val="-2"/>
          <w:u w:val="single"/>
        </w:rPr>
        <w:t>Florida Gas Transmission Company</w:t>
      </w:r>
      <w:r>
        <w:rPr>
          <w:rFonts w:cs="Courier New" w:ascii="Courier New" w:hAnsi="Courier New"/>
          <w:spacing w:val="-2"/>
        </w:rPr>
        <w:t xml:space="preserve">.  An Enron subsidiary owns a 50% interest in Florida Gas by virtue of its 50% interest in Citrus Corp., which owns all of the capital stock of Florida Gas.  Another Enron subsidiary operates the Florida Gas pipeline.  </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Florida Gas is an interstate pipeline company that transports natural gas for third parties.  Its approximately 4,950-mile dual pipeline system extends from South Texas to a point near Miami, Florida.  Florida Gas provides a high degree of gas supply flexibility for its customers because of its proximity to the Gulf of Mexico producing region and its interconnections with other interstate pipeline systems which provide access to virtually every major natural gas producing region in the United States.  Florida Gas serves a mix of customers anchored by electric utility generators.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Florida Gas has periodically expanded its system capacity to keep pace with the growing demand for natural gas in Florida.  In December 1998, Florida Gas filed an application with the FERC to expand its pipeline capacity to meet Florida’s growing electric generation load and local distribution company and industrial demand.  The proposed 272 billion British thermal units (“BBtu”) per day Phase IV expansion is backed by 20-year firm transportation contracts and, subject to regulatory approvals, is expected to be in service in 2001, introducing Florida Gas to the southwest Florida market.  Florida Gas’ current firm average delivery capacity into Florida is 1,455 BBtu per day.  Florida Gas also owns an interest in facilities that link its system to the Mobile Bay producing area.  Florida Gas’ customers have reserved over 99% of the existing capacity on the Florida Gas system pursuant to firm, long-term transportation service agreements.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tab/>
        <w:t>Florida Gas is the only interstate natural gas pipeline serving peninsular Florida.  Florida Gas faces competition from residual fuel oil in the Florida market.  A primary advantage of the straight fixed variable rate design (a FERC mandated rate design to allow pipelines to recover substantially all fixed costs, a return on equity and income taxes in the capacity reservation component of their rates) is that Florida Gas will recover substantially all of its fixed costs regardless of levels of usage by its customers.  See "Regulation - Natural Gas Rates and Regulations".</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suppressAutoHyphens w:val="true"/>
        <w:jc w:val="both"/>
        <w:rPr/>
      </w:pPr>
      <w:r>
        <w:rPr>
          <w:rFonts w:cs="Courier New" w:ascii="Courier New" w:hAnsi="Courier New"/>
          <w:b/>
          <w:spacing w:val="-2"/>
        </w:rPr>
        <w:tab/>
      </w:r>
      <w:r>
        <w:rPr>
          <w:rFonts w:cs="Courier New" w:ascii="Courier New" w:hAnsi="Courier New"/>
          <w:b/>
          <w:spacing w:val="-2"/>
          <w:u w:val="single"/>
        </w:rPr>
        <w:t>Northern Border Partners, L.P.</w:t>
      </w:r>
      <w:r>
        <w:rPr>
          <w:rFonts w:cs="Courier New" w:ascii="Courier New" w:hAnsi="Courier New"/>
          <w:spacing w:val="-2"/>
        </w:rPr>
        <w:t>.  Northern Border Partners, L.P., a Delaware limited partnership, owns 70% of Northern Border Pipeline Company, a Texas general partnership ("Northern Border").  An Enron subsidiary holds a 12.4% interest in the limited partnership and serves as operator of the pipeline.  Northern Border owns an approximately 1,214-mile interstate pipeline system that transports natural gas from the Montana-Saskatchewan border near Port of Morgan, Montana to interconnecting pipelines and local distribution systems in the States of North Dakota, South Dakota, Minnesota, Iowa and Illinois.  Northern Border has pipeline access to natural gas reserves in the provinces of Alberta, British Columbia and Saskatchewan, as well as the Williston Basin in the United States.  The pipeline system also has access to production of synthetic gas from the Dakota Gasification Plant in North Dakota.  Interconnecting pipeline facilities provide Northern Border shippers access to markets in the Midwest, as well as other markets throughout the United States by transportation, displacement and exchange agreements.  Therefore, Northern Border is strategically situated to transport significant quantities of natural gas to major gas consuming markets. Based upon existing contracts and capacity, 100% of Northern Border's firm capacity (approximately 2.4 Bcf of natural gas per day) is contractually committed through October 31, 2001.  Northern Border competes with two other interstate pipeline systems that transport gas from Canada to the Midwest.</w:t>
      </w:r>
    </w:p>
    <w:p>
      <w:pPr>
        <w:pStyle w:val="Normal"/>
        <w:tabs>
          <w:tab w:val="left" w:pos="72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In December 1998, Northern Border completed its Chicago Project which expanded its existing system by delivering an additional 700 MMcf of natural gas per day from Canada, and extended the pipeline 245 miles to Chicago.  The project is fully subscribed by over 20 shippers with 10-year minimum transportation contracts.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rFonts w:cs="Courier New" w:ascii="Courier New" w:hAnsi="Courier New"/>
          <w:spacing w:val="-2"/>
        </w:rPr>
        <w:tab/>
        <w:t xml:space="preserve">In October 1998, Northern Border filed an application with FERC to seek approval of its “Project 2000” which seeks to expand and extend the pipeline system into Indiana by November 2000.  In addition to providing additional Canadian natural gas to United States’ markets, Project 2000 would afford shippers on the extended pipeline system access to industrial gas consumers in northern Indiana. </w:t>
      </w:r>
      <w:r>
        <w:rPr>
          <w:rFonts w:cs="Courier New" w:ascii="Courier New" w:hAnsi="Courier New"/>
          <w:b/>
          <w:spacing w:val="-2"/>
        </w:rPr>
        <w:t>[UPDATE]</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b/>
          <w:spacing w:val="-2"/>
        </w:rPr>
        <w:t>Crude Oil Transportation Services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EOTT Energy Partners, L.P. ("EOTT"), a Delaware limited partnership, is engaged in the purchasing, gathering, transporting, trading, storage and resale of crude oil and refined petroleum products, and related activities.  EOTT Energy Corp. (a wholly-owned subsidiary of Enron) serves as the general partner of EOTT.  Enron owns a minority interest in EOTT.  Through its North American crude oil gathering and marketing operations, EOTT purchases crude oil produced from approximately 40,000 leases in 18 states and is a purchaser of lease crude oil in Canada.  EOTT provides transportation and trading services for third party purchasers of crude oil.  EOTT is in competition with major oil companies and a number of smaller entities.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rPr>
          <w:rFonts w:ascii="Courier New" w:hAnsi="Courier New" w:cs="Courier New"/>
          <w:b/>
          <w:spacing w:val="-2"/>
        </w:rPr>
      </w:pPr>
      <w:r>
        <w:rPr>
          <w:rFonts w:cs="Courier New" w:ascii="Courier New" w:hAnsi="Courier New"/>
          <w:b/>
          <w:spacing w:val="-2"/>
        </w:rPr>
        <w:t>Electricity Transmission and Distribution Operations</w:t>
      </w:r>
    </w:p>
    <w:p>
      <w:pPr>
        <w:pStyle w:val="Normal"/>
        <w:tabs>
          <w:tab w:val="clear" w:pos="720"/>
          <w:tab w:val="center" w:pos="4680"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left" w:pos="720" w:leader="none"/>
          <w:tab w:val="center" w:pos="4680" w:leader="none"/>
        </w:tabs>
        <w:suppressAutoHyphens w:val="true"/>
        <w:jc w:val="both"/>
        <w:rPr/>
      </w:pPr>
      <w:r>
        <w:rPr>
          <w:rFonts w:cs="Courier New" w:ascii="Courier New" w:hAnsi="Courier New"/>
          <w:b/>
          <w:spacing w:val="-2"/>
        </w:rPr>
        <w:tab/>
      </w:r>
      <w:r>
        <w:rPr>
          <w:rFonts w:cs="Courier New" w:ascii="Courier New" w:hAnsi="Courier New"/>
          <w:spacing w:val="-2"/>
        </w:rPr>
        <w:t>Enron’s electric utility operations are conducted through its wholly-owned subsidiary Portland General Electric Company (“PGE”).  PGE, incorporated in 1930, is an electric utility engaged in the generation, purchase, transmission, distribution and sale of electricity in the State of Oregon.  PGE also sells energy to wholesale customers throughout the western United States.  PGE’s Oregon service area is approximately 3,170 square miles, including 54 incorporated cities of which Portland and Salem are the largest, within a state-approved service area allocation of 4,070 square miles.  At December 31, 1999 PGE served approximately 719,000 retail customers.</w:t>
      </w:r>
    </w:p>
    <w:p>
      <w:pPr>
        <w:pStyle w:val="Normal"/>
        <w:tabs>
          <w:tab w:val="left" w:pos="720" w:leader="none"/>
          <w:tab w:val="center" w:pos="46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center" w:pos="4680" w:leader="none"/>
        </w:tabs>
        <w:suppressAutoHyphens w:val="true"/>
        <w:jc w:val="both"/>
        <w:rPr>
          <w:rFonts w:ascii="Courier New" w:hAnsi="Courier New" w:cs="Courier New"/>
          <w:spacing w:val="-2"/>
        </w:rPr>
      </w:pPr>
      <w:r>
        <w:rPr>
          <w:rFonts w:cs="Courier New" w:ascii="Courier New" w:hAnsi="Courier New"/>
          <w:spacing w:val="-2"/>
        </w:rPr>
        <w:tab/>
        <w:t>Enron and Sierra Pacific Resources announced on November 8, 1999 that they entered into a purchase and sale agreement for PGE.  Under the terms of the agreement, Enron will sell PGE to Sierra Pacific Resources for $2.1 billion, comprised of $2.02 billion in cash and the assumption of Enron’s approximately $80 million merger payment obligation.  Sierra Pacific Resources will also assume $1 billion in PGE debt and preferred stock.  The proposed transaction, which is subject to customary regulatory approvals, is expected to close in late 2000.</w:t>
      </w:r>
    </w:p>
    <w:p>
      <w:pPr>
        <w:pStyle w:val="Normal"/>
        <w:tabs>
          <w:tab w:val="left" w:pos="720" w:leader="none"/>
          <w:tab w:val="center" w:pos="46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center" w:pos="4680" w:leader="none"/>
        </w:tabs>
        <w:suppressAutoHyphens w:val="true"/>
        <w:jc w:val="both"/>
        <w:rPr>
          <w:rFonts w:ascii="Courier New" w:hAnsi="Courier New" w:cs="Courier New"/>
          <w:spacing w:val="-2"/>
        </w:rPr>
      </w:pPr>
      <w:r>
        <w:rPr>
          <w:rFonts w:cs="Courier New" w:ascii="Courier New" w:hAnsi="Courier New"/>
          <w:spacing w:val="-2"/>
        </w:rPr>
        <w:tab/>
        <w:t>PGE serves a diverse retail customer base.  Residential customers constitute the largest customer class and accounted for approximately 48% of the retail revenues in 1998.  Residential demand is highly sensitive to the effects of weather, with revenues highest during the winter heating season.  Commercial customers comprised approximately __% and industrial customers represented approximately __% of retail revenues in 1999.  The commercial and industrial classes are not dominated by any single industry.  While the 20 largest customers constituted approximately __% of 1999 retail demand, they represented 10 different industry groups including paper manufacturing, high technology, metal fabrication, transportation equipment and health services.  No single customer represents more than __% of PGE’s total retail load.</w:t>
      </w:r>
    </w:p>
    <w:p>
      <w:pPr>
        <w:pStyle w:val="Normal"/>
        <w:tabs>
          <w:tab w:val="left" w:pos="720" w:leader="none"/>
          <w:tab w:val="center" w:pos="46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center" w:pos="4680" w:leader="none"/>
        </w:tabs>
        <w:suppressAutoHyphens w:val="true"/>
        <w:jc w:val="both"/>
        <w:rPr>
          <w:rFonts w:ascii="Courier New" w:hAnsi="Courier New" w:cs="Courier New"/>
          <w:spacing w:val="-2"/>
        </w:rPr>
      </w:pPr>
      <w:r>
        <w:rPr>
          <w:rFonts w:cs="Courier New" w:ascii="Courier New" w:hAnsi="Courier New"/>
          <w:spacing w:val="-2"/>
        </w:rPr>
        <w:tab/>
        <w:t>Wholesale electricity sales comprised about __% of PGE’s total operating revenues in 1999, down from about 20% in 1998.  During the last several years, PGE has actively marketed wholesale power throughout the western United States, with significant sales growth since 1994; most of such growth has come through sales to marketers and brokers and have been predominantly short-term.  PGE will continue its participation in the wholesale marketplace in order to balance its supply of power to meet the needs of its retail customers, manage risk and administer its current long-term wholesale contracts.  Long-term wholesale trading activities have been transferred to a non-regulated Enron affiliate, which participates more fully in a broader market.  PGE expects that its future revenues from the wholesale marketplace will decline.</w:t>
      </w:r>
    </w:p>
    <w:p>
      <w:pPr>
        <w:pStyle w:val="Normal"/>
        <w:tabs>
          <w:tab w:val="left" w:pos="720" w:leader="none"/>
          <w:tab w:val="center" w:pos="468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 w:val="center" w:pos="4680" w:leader="none"/>
        </w:tabs>
        <w:suppressAutoHyphens w:val="true"/>
        <w:jc w:val="both"/>
        <w:rPr>
          <w:rFonts w:ascii="Courier New" w:hAnsi="Courier New" w:cs="Courier New"/>
          <w:spacing w:val="-2"/>
        </w:rPr>
      </w:pPr>
      <w:r>
        <w:rPr>
          <w:rFonts w:cs="Courier New" w:ascii="Courier New" w:hAnsi="Courier New"/>
          <w:spacing w:val="-2"/>
        </w:rPr>
        <w:tab/>
        <w:t>PGE operates within a state-approved service area and under current regulation is substantially free from direct retail competition with other electric utilities.  PGE’s competitors within its Oregon service territory include other fuel suppliers, such as the local natural gas company, which compete with PGE for the residential and commercial space and water heating market.  In addition, there is the potential of a loss of PGE service territory from the creation of public utility districts or municipal utilities by voters.</w:t>
      </w:r>
    </w:p>
    <w:p>
      <w:pPr>
        <w:pStyle w:val="Normal"/>
        <w:tabs>
          <w:tab w:val="clear" w:pos="720"/>
          <w:tab w:val="center" w:pos="4680"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clear" w:pos="720"/>
          <w:tab w:val="center" w:pos="4680" w:leader="none"/>
        </w:tabs>
        <w:suppressAutoHyphens w:val="true"/>
        <w:jc w:val="both"/>
        <w:rPr>
          <w:rFonts w:ascii="Courier New" w:hAnsi="Courier New" w:cs="Courier New"/>
          <w:spacing w:val="-2"/>
        </w:rPr>
      </w:pPr>
      <w:r>
        <w:rPr>
          <w:rFonts w:cs="Courier New" w:ascii="Courier New" w:hAnsi="Courier New"/>
          <w:b/>
          <w:spacing w:val="-2"/>
        </w:rPr>
        <w:tab/>
        <w:t>WHOLESALE ENERGY OPERATIONS AND SERVICES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Enron’s wholesale business (“Enron Wholesale”) includes its wholesale energy businesses around the world, as well as its emerging broadband services business.  Enron Wholesale operates in developed markets such as North America and Europe, as well as developing or newly deregulating markets including South America, India and Japan.</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builds its wholesale businesses through the creation of networks involving asset ownership, contractual access to third party assets and market-making activities.  Each market in which Enron Wholesale operates utilizes these components in a slightly different manner and is at a different stage of development.  This network strategy has enabled Enron Wholesale to establish a significant position in its markets.  These activities are categorized into two business lines:  (a) Commodity Sales and Services, and (b) Assets and Investments.  Often these activities are integrated into a bundled product offering for Enron’s customers.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Wholesale manages its portfolio of contracts and assets in order to maximize value, minimize the associated risks and provide overall liquidity.  In doing so, Enron Wholesale uses portfolio and risk management disciplines including offsetting or hedging transactions to manage exposures to market price movements (commodities, interest rates, foreign currencies and equities).  Additionally, Enron Wholesale manages its liquidity and exposure to third party credit risk through monetization of its contract portfolio or third party insurance contracts.  Enron Wholesale also sells interests in certain investments and other assets to improve liquidity and overall return.</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rFonts w:cs="Courier New" w:ascii="Courier New" w:hAnsi="Courier New"/>
          <w:spacing w:val="-2"/>
        </w:rPr>
        <w:tab/>
      </w:r>
      <w:r>
        <w:rPr>
          <w:rFonts w:cs="Courier New" w:ascii="Courier New" w:hAnsi="Courier New"/>
          <w:b/>
          <w:i/>
          <w:spacing w:val="-2"/>
        </w:rPr>
        <w:t>Commodity Sales and Services</w:t>
      </w:r>
      <w:r>
        <w:rPr>
          <w:rFonts w:cs="Courier New" w:ascii="Courier New" w:hAnsi="Courier New"/>
          <w:b/>
          <w:spacing w:val="-2"/>
        </w:rPr>
        <w:t>.</w:t>
      </w:r>
      <w:r>
        <w:rPr>
          <w:rFonts w:cs="Courier New" w:ascii="Courier New" w:hAnsi="Courier New"/>
          <w:spacing w:val="-2"/>
        </w:rPr>
        <w:t xml:space="preserve">  Enron Wholesale provides reliable commodity delivery and predictable pricing to its customers through forward contracts.  This market-making activity includes the purchase, sale, marketing and delivery of natural gas, electricity, liquids and other commodities, as well as the management of Enron Wholesale’s own portfolio of contracts.  Enron Wholesale’s market-making activity is facilitated through a network of capabilities including asset ownership.  Accordingly, certain assets involved in the delivery of these services are included in this business (such as intrastate natural gas pipelines, power plants and gas storage facilities).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Wholesale markets, transports and provides energy commodities as reflected in the following table (including intercompany amounts):</w:t>
      </w:r>
    </w:p>
    <w:p>
      <w:pPr>
        <w:pStyle w:val="Normal"/>
        <w:tabs>
          <w:tab w:val="clear" w:pos="720"/>
          <w:tab w:val="left" w:pos="540" w:leader="none"/>
        </w:tabs>
        <w:rPr>
          <w:rFonts w:ascii="Courier New" w:hAnsi="Courier New" w:cs="Courier New"/>
          <w:spacing w:val="-2"/>
        </w:rPr>
      </w:pPr>
      <w:r>
        <w:rPr>
          <w:rFonts w:cs="Courier New" w:ascii="Courier New" w:hAnsi="Courier New"/>
          <w:spacing w:val="-2"/>
        </w:rPr>
      </w:r>
    </w:p>
    <w:p>
      <w:pPr>
        <w:pStyle w:val="Normal"/>
        <w:tabs>
          <w:tab w:val="clear" w:pos="720"/>
          <w:tab w:val="center" w:pos="7290" w:leader="none"/>
        </w:tabs>
        <w:rPr>
          <w:rFonts w:ascii="Courier New" w:hAnsi="Courier New" w:cs="Courier New"/>
        </w:rPr>
      </w:pPr>
      <w:r>
        <w:rPr>
          <w:rFonts w:cs="Courier New" w:ascii="Courier New" w:hAnsi="Courier New"/>
        </w:rPr>
        <w:tab/>
        <w:t>Year Ended December 31,</w:t>
      </w:r>
    </w:p>
    <w:p>
      <w:pPr>
        <w:pStyle w:val="Normal"/>
        <w:tabs>
          <w:tab w:val="clear" w:pos="720"/>
          <w:tab w:val="left" w:pos="5310" w:leader="none"/>
          <w:tab w:val="center" w:pos="5850" w:leader="none"/>
          <w:tab w:val="center" w:pos="7290" w:leader="none"/>
          <w:tab w:val="center" w:pos="8730" w:leader="none"/>
          <w:tab w:val="left" w:pos="9180" w:leader="none"/>
        </w:tabs>
        <w:rPr>
          <w:rFonts w:ascii="Courier New" w:hAnsi="Courier New" w:cs="Courier New"/>
        </w:rPr>
      </w:pPr>
      <w:r>
        <w:rPr>
          <w:rFonts w:cs="Courier New" w:ascii="Courier New" w:hAnsi="Courier New"/>
        </w:rPr>
        <w:tab/>
      </w:r>
      <w:r>
        <w:rPr>
          <w:rFonts w:cs="Courier New" w:ascii="Courier New" w:hAnsi="Courier New"/>
          <w:u w:val="single"/>
        </w:rPr>
        <w:tab/>
        <w:t>1999</w:t>
        <w:tab/>
        <w:t>1998</w:t>
        <w:tab/>
        <w:t>1997</w:t>
        <w:tab/>
      </w:r>
    </w:p>
    <w:p>
      <w:pPr>
        <w:pStyle w:val="Normal"/>
        <w:rPr>
          <w:rFonts w:ascii="Courier New" w:hAnsi="Courier New" w:cs="Courier New"/>
        </w:rPr>
      </w:pPr>
      <w:r>
        <w:rPr>
          <w:rFonts w:cs="Courier New" w:ascii="Courier New" w:hAnsi="Courier New"/>
        </w:rPr>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(a)(b)</w:t>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Gas:</w:t>
      </w:r>
    </w:p>
    <w:p>
      <w:pPr>
        <w:pStyle w:val="Footer"/>
        <w:tabs>
          <w:tab w:val="clear" w:pos="4320"/>
          <w:tab w:val="clear" w:pos="864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ab/>
        <w:t>United States</w:t>
        <w:tab/>
        <w:t>8,982</w:t>
        <w:tab/>
        <w:t>7,418</w:t>
        <w:tab/>
        <w:t>7,654</w:t>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ab/>
        <w:t>Canada</w:t>
        <w:tab/>
        <w:t>4,398</w:t>
        <w:tab/>
        <w:t>3,486</w:t>
        <w:tab/>
        <w:t>2,263</w:t>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u w:val="single"/>
        </w:rPr>
      </w:pPr>
      <w:r>
        <w:rPr>
          <w:rFonts w:cs="Courier New" w:ascii="Courier New" w:hAnsi="Courier New"/>
        </w:rPr>
        <w:tab/>
        <w:t>Europe</w:t>
        <w:tab/>
        <w:t xml:space="preserve"> 1,549</w:t>
        <w:tab/>
        <w:t xml:space="preserve"> 1,243</w:t>
        <w:tab/>
        <w:t>660</w:t>
      </w:r>
    </w:p>
    <w:p>
      <w:pPr>
        <w:pStyle w:val="Normal"/>
        <w:tabs>
          <w:tab w:val="clear" w:pos="720"/>
          <w:tab w:val="left" w:pos="360" w:leader="none"/>
          <w:tab w:val="decimal" w:pos="6120" w:leader="none"/>
          <w:tab w:val="decimal" w:pos="7560" w:leader="none"/>
          <w:tab w:val="decimal" w:pos="9000" w:leader="none"/>
        </w:tabs>
        <w:rPr/>
      </w:pPr>
      <w:r>
        <w:rPr>
          <w:rFonts w:cs="Courier New" w:ascii="Courier New" w:hAnsi="Courier New"/>
        </w:rPr>
        <w:tab/>
        <w:t>Other</w:t>
        <w:tab/>
      </w:r>
      <w:r>
        <w:rPr>
          <w:rFonts w:cs="Courier New" w:ascii="Courier New" w:hAnsi="Courier New"/>
          <w:u w:val="single"/>
        </w:rPr>
        <w:t xml:space="preserve">    23</w:t>
        <w:tab/>
        <w:t>8</w:t>
        <w:tab/>
        <w:t>-</w:t>
      </w:r>
    </w:p>
    <w:p>
      <w:pPr>
        <w:pStyle w:val="Footer"/>
        <w:tabs>
          <w:tab w:val="clear" w:pos="4320"/>
          <w:tab w:val="clear" w:pos="864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ab/>
        <w:tab/>
        <w:t>14,952</w:t>
        <w:tab/>
        <w:t>12,155</w:t>
        <w:tab/>
        <w:t>10,577</w:t>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Transport volumes</w:t>
        <w:tab/>
        <w:t>575</w:t>
        <w:tab/>
        <w:t>559</w:t>
        <w:tab/>
        <w:t>460</w:t>
      </w:r>
    </w:p>
    <w:p>
      <w:pPr>
        <w:pStyle w:val="Heading2"/>
        <w:tabs>
          <w:tab w:val="clear" w:pos="720"/>
          <w:tab w:val="left" w:pos="360" w:leader="none"/>
          <w:tab w:val="decimal" w:pos="6120" w:leader="none"/>
          <w:tab w:val="decimal" w:pos="7560" w:leader="none"/>
          <w:tab w:val="decimal" w:pos="9000" w:leader="none"/>
        </w:tabs>
        <w:ind w:hanging="0" w:start="0"/>
        <w:rPr/>
      </w:pPr>
      <w:r>
        <w:rPr/>
        <w:tab/>
        <w:t xml:space="preserve">   Total gas volumes</w:t>
        <w:tab/>
        <w:t>15,527</w:t>
        <w:tab/>
        <w:t>12,714</w:t>
        <w:tab/>
        <w:t>11,037</w:t>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Crude oil</w:t>
        <w:tab/>
        <w:t>5,407</w:t>
        <w:tab/>
        <w:t>2,960</w:t>
        <w:tab/>
        <w:t>690</w:t>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Liquids</w:t>
        <w:tab/>
        <w:t>753</w:t>
        <w:tab/>
        <w:t>610</w:t>
        <w:tab/>
        <w:t>987</w:t>
      </w:r>
    </w:p>
    <w:p>
      <w:pPr>
        <w:pStyle w:val="Normal"/>
        <w:tabs>
          <w:tab w:val="left" w:pos="360" w:leader="none"/>
          <w:tab w:val="left" w:pos="72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Electricity</w:t>
      </w:r>
      <w:r>
        <w:rPr>
          <w:rFonts w:cs="Courier New" w:ascii="Courier New" w:hAnsi="Courier New"/>
          <w:sz w:val="16"/>
        </w:rPr>
        <w:t>(c)</w:t>
      </w:r>
      <w:r>
        <w:rPr>
          <w:rFonts w:cs="Courier New" w:ascii="Courier New" w:hAnsi="Courier New"/>
        </w:rPr>
        <w:tab/>
      </w:r>
      <w:r>
        <w:rPr>
          <w:rFonts w:cs="Courier New" w:ascii="Courier New" w:hAnsi="Courier New"/>
          <w:u w:val="single"/>
        </w:rPr>
        <w:t>10,742</w:t>
        <w:tab/>
        <w:t>11,024</w:t>
        <w:tab/>
        <w:t>5,256</w:t>
      </w:r>
    </w:p>
    <w:p>
      <w:pPr>
        <w:pStyle w:val="Heading2"/>
        <w:ind w:hanging="0" w:start="0"/>
        <w:rPr/>
      </w:pPr>
      <w:r>
        <w:rPr/>
        <w:tab/>
        <w:tab/>
        <w:t>Total physical volumes (BBtue/d)</w:t>
        <w:tab/>
        <w:t>32,429</w:t>
        <w:tab/>
        <w:t>27,308</w:t>
        <w:tab/>
        <w:t>17,970</w:t>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Electricity volumes marketed (thousand MWh)</w:t>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ab/>
        <w:t>United States</w:t>
        <w:tab/>
        <w:t>380,518</w:t>
        <w:tab/>
        <w:t>401,843</w:t>
        <w:tab/>
        <w:t>191,746</w:t>
      </w:r>
    </w:p>
    <w:p>
      <w:pPr>
        <w:pStyle w:val="Footer"/>
        <w:tabs>
          <w:tab w:val="clear" w:pos="4320"/>
          <w:tab w:val="clear" w:pos="864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rPr>
        <w:tab/>
        <w:t>Europe and Other</w:t>
        <w:tab/>
        <w:t xml:space="preserve"> 11,143</w:t>
        <w:tab/>
        <w:t xml:space="preserve">    483</w:t>
        <w:tab/>
        <w:t xml:space="preserve">   100</w:t>
      </w:r>
    </w:p>
    <w:p>
      <w:pPr>
        <w:pStyle w:val="Footer"/>
        <w:tabs>
          <w:tab w:val="clear" w:pos="4320"/>
          <w:tab w:val="clear" w:pos="8640"/>
          <w:tab w:val="left" w:pos="360" w:leader="none"/>
          <w:tab w:val="decimal" w:pos="6120" w:leader="none"/>
          <w:tab w:val="decimal" w:pos="7560" w:leader="none"/>
          <w:tab w:val="decimal" w:pos="9000" w:leader="none"/>
        </w:tabs>
        <w:rPr/>
      </w:pPr>
      <w:r>
        <w:rPr>
          <w:rFonts w:cs="Courier New" w:ascii="Courier New" w:hAnsi="Courier New"/>
        </w:rPr>
        <w:tab/>
        <w:t>Other</w:t>
        <w:tab/>
      </w:r>
      <w:r>
        <w:rPr>
          <w:rFonts w:cs="Courier New" w:ascii="Courier New" w:hAnsi="Courier New"/>
          <w:u w:val="single"/>
        </w:rPr>
        <w:t xml:space="preserve">    433</w:t>
        <w:tab/>
        <w:t>46</w:t>
        <w:tab/>
        <w:t>-</w:t>
      </w:r>
    </w:p>
    <w:p>
      <w:pPr>
        <w:pStyle w:val="Footer"/>
        <w:tabs>
          <w:tab w:val="clear" w:pos="4320"/>
          <w:tab w:val="clear" w:pos="8640"/>
          <w:tab w:val="left" w:pos="360" w:leader="none"/>
          <w:tab w:val="decimal" w:pos="6120" w:leader="none"/>
          <w:tab w:val="decimal" w:pos="7560" w:leader="none"/>
          <w:tab w:val="decimal" w:pos="9000" w:leader="none"/>
        </w:tabs>
        <w:rPr>
          <w:rFonts w:ascii="Courier New" w:hAnsi="Courier New" w:cs="Courier New"/>
          <w:u w:val="single"/>
        </w:rPr>
      </w:pPr>
      <w:r>
        <w:rPr>
          <w:rFonts w:cs="Courier New" w:ascii="Courier New" w:hAnsi="Courier New"/>
          <w:u w:val="single"/>
        </w:rPr>
        <w:tab/>
        <w:t xml:space="preserve">   Total</w:t>
        <w:tab/>
        <w:t>392,094</w:t>
        <w:tab/>
        <w:t>402,372</w:t>
        <w:tab/>
        <w:t>191,846</w:t>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u w:val="single"/>
        </w:rPr>
      </w:pPr>
      <w:r>
        <w:rPr>
          <w:rFonts w:cs="Courier New" w:ascii="Courier New" w:hAnsi="Courier New"/>
          <w:u w:val="single"/>
        </w:rPr>
      </w:r>
    </w:p>
    <w:p>
      <w:pPr>
        <w:pStyle w:val="Normal"/>
        <w:tabs>
          <w:tab w:val="clear" w:pos="720"/>
          <w:tab w:val="left" w:pos="360" w:leader="none"/>
          <w:tab w:val="decimal" w:pos="6120" w:leader="none"/>
          <w:tab w:val="decimal" w:pos="7560" w:leader="none"/>
          <w:tab w:val="decimal" w:pos="9000" w:leader="none"/>
        </w:tabs>
        <w:rPr>
          <w:rFonts w:ascii="Courier New" w:hAnsi="Courier New" w:cs="Courier New"/>
        </w:rPr>
      </w:pPr>
      <w:r>
        <w:rPr>
          <w:rFonts w:cs="Courier New" w:ascii="Courier New" w:hAnsi="Courier New"/>
          <w:u w:val="single"/>
        </w:rPr>
        <w:t>Financial settlements (notional)(Bbtue/d)</w:t>
        <w:tab/>
        <w:t xml:space="preserve"> 99,337</w:t>
        <w:tab/>
        <w:t>49,082</w:t>
        <w:tab/>
        <w:t>75,266</w:t>
      </w:r>
    </w:p>
    <w:p>
      <w:pPr>
        <w:pStyle w:val="Normal"/>
        <w:tabs>
          <w:tab w:val="clear" w:pos="720"/>
          <w:tab w:val="left" w:pos="36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(a) Billion British thermal units equivalent per day.</w:t>
      </w:r>
    </w:p>
    <w:p>
      <w:pPr>
        <w:pStyle w:val="Normal"/>
        <w:tabs>
          <w:tab w:val="clear" w:pos="720"/>
          <w:tab w:val="left" w:pos="36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(b) Includes third-party transactions by Enron Energy Services.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sz w:val="16"/>
        </w:rPr>
      </w:pPr>
      <w:r>
        <w:rPr>
          <w:rFonts w:eastAsia="Courier New" w:cs="Courier New" w:ascii="Courier New" w:hAnsi="Courier New"/>
          <w:spacing w:val="-2"/>
          <w:sz w:val="16"/>
        </w:rPr>
        <w:t xml:space="preserve"> </w:t>
      </w:r>
      <w:r>
        <w:rPr>
          <w:rFonts w:cs="Courier New" w:ascii="Courier New" w:hAnsi="Courier New"/>
          <w:spacing w:val="-2"/>
          <w:sz w:val="16"/>
        </w:rPr>
        <w:t>(c) Represents electricity volumes marketed, converted to Bbtue/d.</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sz w:val="16"/>
        </w:rPr>
      </w:pPr>
      <w:r>
        <w:rPr>
          <w:rFonts w:cs="Courier New" w:ascii="Courier New" w:hAnsi="Courier New"/>
          <w:spacing w:val="-2"/>
          <w:sz w:val="16"/>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Wholesale strengthened its position in the North American energy markets and continued to expand its presence in Europe, particularly on the Continent where wholesale markets began deregulation in early 1999.  Enron Wholesale also successfully managed it overall portfolio of contracts, particularly in minimizing credit exposures utilizing third party contracts.  New product offerings in coal and pulp and paper markets also added favorably to the results.  In late 1999, Enron Wholesale launched an internet-based e-commerce system, EnronOnline, which allows wholesale customers to view Enron’s real time pricing and complete commodity transactions with Enron as principal, with no direct interaction.  This capability has positively impacted transaction levels.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rFonts w:cs="Courier New" w:ascii="Courier New" w:hAnsi="Courier New"/>
          <w:spacing w:val="-2"/>
        </w:rPr>
        <w:tab/>
      </w:r>
      <w:r>
        <w:rPr>
          <w:rFonts w:cs="Courier New" w:ascii="Courier New" w:hAnsi="Courier New"/>
          <w:b/>
          <w:i/>
          <w:spacing w:val="-2"/>
        </w:rPr>
        <w:t>Assets and Investments</w:t>
      </w:r>
      <w:r>
        <w:rPr>
          <w:rFonts w:cs="Courier New" w:ascii="Courier New" w:hAnsi="Courier New"/>
          <w:b/>
          <w:spacing w:val="-2"/>
        </w:rPr>
        <w:t>.</w:t>
      </w:r>
      <w:r>
        <w:rPr>
          <w:rFonts w:cs="Courier New" w:ascii="Courier New" w:hAnsi="Courier New"/>
          <w:spacing w:val="-2"/>
        </w:rPr>
        <w:t xml:space="preserve">  Enron’s Wholesale businesses make investments in various energy and communications-related assets as a part of its network strategy.  Enron Wholesale either purchases the asset from a third party or develops and constructs the asset.  In most cases, Enron Wholesale operates and manages such assets.  Earnings from these investments principally result from operations of the assets or sales of ownership interests.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Additionally, Enron Wholesale invests in debt and equity securities of energy and communications-related businesses, which may also utilize Enron Wholesale’s products and services.  With these merchant investments, Enron’s influence is much more limited relative to assets Enron develops or constructs.  Earnings from these activities result from changes in the market value of the security.</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b/>
          <w:spacing w:val="-2"/>
        </w:rPr>
        <w:t>Developed Markets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rFonts w:cs="Courier New" w:ascii="Courier New" w:hAnsi="Courier New"/>
          <w:spacing w:val="-2"/>
        </w:rPr>
        <w:tab/>
      </w:r>
      <w:r>
        <w:rPr>
          <w:rFonts w:cs="Courier New" w:ascii="Courier New" w:hAnsi="Courier New"/>
          <w:spacing w:val="-2"/>
          <w:u w:val="single"/>
        </w:rPr>
        <w:t>North America</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u w:val="single"/>
        </w:rPr>
      </w:pPr>
      <w:r>
        <w:rPr>
          <w:rFonts w:cs="Courier New" w:ascii="Courier New" w:hAnsi="Courier New"/>
          <w:spacing w:val="-2"/>
          <w:u w:val="single"/>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markets natural gas, electricity and other energy commodities in North America and provides risk management products and financial services to producers and end-users of energy commodities.  Enron offers a broad range of services including risk management and financing expertise through a variety of products including forward contracts, swap agreements and other contractual commitments.  Customers include independent oil and gas producers, energy-intensive industrials, public and investor-owned utility power companies, small independent power producers and local distribution companies.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In 1999, there was a __% increase in Enron’s physical wholesale commodity sales over 1998 with volumes for all commodities totaling more than __ trillion British thermal units equivalent (“Tbtue”) per day.  This included an increase of the electricity volumes from _____ million megawatt hours in 1998 to over ____ million megawatt hours in 1999.  In addition, financial settlements totaled ____ Tbtue per day.  Enron’s strategy is to enhance the scale, scope, flexibility and speed of its North American energy network through building and acquiring strategically placed generation assets and forming alliances with customers.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rFonts w:cs="Courier New" w:ascii="Courier New" w:hAnsi="Courier New"/>
          <w:spacing w:val="-2"/>
        </w:rPr>
        <w:tab/>
        <w:t xml:space="preserve">Enron’s intrastate pipelines include Houston Pipe Line Company ("HPL") and Louisiana Resources Company.  HPL owns a 5,269-mile pipeline in Texas which interconnects with Northern, Transwestern, Florida Gas and numerous other interstate and intrastate pipelines.  HPL's intrastate natural gas transportation and storage services are subject to seasonal variation because many of its customers have weather-sensitive natural gas requirements.  The Railroad Commission of Texas has jurisdiction over intrastate gas pipeline rates, operations and transactions in Texas.  See "Regulation--Natural Gas Rates and Regulations."  Louisiana Resources Company is a 540-mile intrastate pipeline which spans the state of Louisiana and serves the industrial complex along the Mississippi River from Baton Rouge to New Orleans.  The pipeline interconnects with the Henry Hub, which is the NYMEX physical settlement location, and has numerous interconnections with both interstate and intrastate pipelines.  </w:t>
      </w:r>
      <w:r>
        <w:rPr>
          <w:rFonts w:cs="Courier New" w:ascii="Courier New" w:hAnsi="Courier New"/>
          <w:b/>
          <w:spacing w:val="-2"/>
        </w:rPr>
        <w:t>[UPDATE]</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b/>
          <w:spacing w:val="-2"/>
        </w:rPr>
      </w:pPr>
      <w:r>
        <w:rPr>
          <w:rFonts w:cs="Courier New" w:ascii="Courier New" w:hAnsi="Courier New"/>
          <w:b/>
          <w:spacing w:val="-2"/>
        </w:rPr>
      </w:r>
    </w:p>
    <w:p>
      <w:pPr>
        <w:pStyle w:val="BodyText"/>
        <w:tabs>
          <w:tab w:val="clear" w:pos="180"/>
          <w:tab w:val="clear" w:pos="5490"/>
          <w:tab w:val="clear" w:pos="7470"/>
          <w:tab w:val="clear" w:pos="9450"/>
          <w:tab w:val="left" w:pos="-1440" w:leader="none"/>
          <w:tab w:val="left" w:pos="-720" w:leader="none"/>
          <w:tab w:val="right" w:pos="-54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rPr/>
      </w:pPr>
      <w:r>
        <w:rPr/>
        <w:tab/>
        <w:t>Enron's Napoleonville natural gas storage facility located in Louisiana, which accesses the Louisiana Resources Company pipeline, provides approximately 4 Bcf of working capacity.  This facility enhances the benefits of Louisiana Resources Company by improving Enron's ability to meet the firm requirements of industrial markets in Louisiana, and provides the swing and peak capability required by local distribution companies and electric utilities along the Eastern seaboard.  Enron’s Bammel natural gas storage facility located near Houston provides approximately 58 Bcf of working capacity.  This facility has the flexibility to deliver gas to the Texas market, or to the East Coast or the midwestern United States.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rFonts w:cs="Courier New" w:ascii="Courier New" w:hAnsi="Courier New"/>
          <w:spacing w:val="-2"/>
        </w:rPr>
        <w:tab/>
      </w:r>
      <w:r>
        <w:rPr>
          <w:rFonts w:cs="Courier New" w:ascii="Courier New" w:hAnsi="Courier New"/>
          <w:spacing w:val="-2"/>
          <w:u w:val="single"/>
        </w:rPr>
        <w:t>Europe</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u w:val="single"/>
        </w:rPr>
      </w:pPr>
      <w:r>
        <w:rPr>
          <w:rFonts w:cs="Courier New" w:ascii="Courier New" w:hAnsi="Courier New"/>
          <w:spacing w:val="-2"/>
          <w:u w:val="single"/>
        </w:rPr>
      </w:r>
    </w:p>
    <w:p>
      <w:pPr>
        <w:pStyle w:val="BodyText"/>
        <w:tabs>
          <w:tab w:val="clear" w:pos="180"/>
          <w:tab w:val="left" w:pos="-1440" w:leader="none"/>
          <w:tab w:val="left" w:pos="-720" w:leader="none"/>
          <w:tab w:val="right" w:pos="-540" w:leader="none"/>
          <w:tab w:val="left" w:pos="0" w:leader="none"/>
          <w:tab w:val="left" w:pos="720" w:leader="none"/>
          <w:tab w:val="left" w:pos="1440" w:leader="none"/>
          <w:tab w:val="left" w:pos="2160" w:leader="none"/>
          <w:tab w:val="right" w:pos="5490" w:leader="none"/>
          <w:tab w:val="right" w:pos="7470" w:leader="none"/>
          <w:tab w:val="right" w:pos="9450" w:leader="none"/>
        </w:tabs>
        <w:rPr/>
      </w:pPr>
      <w:r>
        <w:rPr/>
        <w:tab/>
        <w:t>As the energy markets liberalize across Europe, Enron’s strategy is to build a presence early in each key market in order to create an integrated pan European energy operation.  Energy service capabilities are in place in Europe similar to those established in North America, such as providing reliable delivery of physical commodities and risk management and financing services. At the end of 1999, Enron employed more than ____ people in trading, marketing and power generation across continental Europe including the United Kingdom, Norway, Germany, Turkey, Poland, Russia and Italy.</w:t>
      </w:r>
    </w:p>
    <w:p>
      <w:pPr>
        <w:pStyle w:val="BodyText"/>
        <w:rPr/>
      </w:pPr>
      <w:r>
        <w:rPr/>
      </w:r>
    </w:p>
    <w:p>
      <w:pPr>
        <w:pStyle w:val="BodyText"/>
        <w:tabs>
          <w:tab w:val="clear" w:pos="0"/>
          <w:tab w:val="clear" w:pos="180"/>
          <w:tab w:val="clear" w:pos="1440"/>
          <w:tab w:val="clear" w:pos="2160"/>
          <w:tab w:val="clear" w:pos="5490"/>
          <w:tab w:val="clear" w:pos="7470"/>
          <w:tab w:val="clear" w:pos="9450"/>
          <w:tab w:val="left" w:pos="-1440" w:leader="none"/>
          <w:tab w:val="left" w:pos="-720" w:leader="none"/>
          <w:tab w:val="right" w:pos="-540" w:leader="none"/>
          <w:tab w:val="left" w:pos="720" w:leader="none"/>
        </w:tabs>
        <w:suppressAutoHyphens w:val="false"/>
        <w:rPr/>
      </w:pPr>
      <w:r>
        <w:rPr/>
        <w:tab/>
        <w:t>In contrast to the early stages of energy deregulation in North America where there was generally adequate infrastructure in place to produce and transport gas and power, the international energy markets have generally lacked adequate energy infrastructure, providing Enron opportunities to develop, construct and operate large energy projects.  In December 1998, Enron acquired the Teesside Utilities and Services business in northeast England, whose assets include a 154-megawatt power plant and distribution systems for gas, power, steam and water.  Enron’s asset position in the United Kingdom also includes a second gas-fired combined cycle 790-megawatt plant sited at Sutton Bridge.  This investment provides opportunities and value to both Enron and the plant’s major customer from the flexibility to convert from natural gas to power as determined by the market price of each commodity.</w:t>
      </w:r>
    </w:p>
    <w:p>
      <w:pPr>
        <w:pStyle w:val="BodyText"/>
        <w:tabs>
          <w:tab w:val="clear" w:pos="180"/>
          <w:tab w:val="left" w:pos="-1440" w:leader="none"/>
          <w:tab w:val="left" w:pos="-720" w:leader="none"/>
          <w:tab w:val="right" w:pos="-540" w:leader="none"/>
          <w:tab w:val="left" w:pos="0" w:leader="none"/>
          <w:tab w:val="left" w:pos="720" w:leader="none"/>
          <w:tab w:val="left" w:pos="1440" w:leader="none"/>
          <w:tab w:val="left" w:pos="2160" w:leader="none"/>
          <w:tab w:val="right" w:pos="5490" w:leader="none"/>
          <w:tab w:val="right" w:pos="7470" w:leader="none"/>
          <w:tab w:val="right" w:pos="9450" w:leader="none"/>
        </w:tabs>
        <w:rPr/>
      </w:pPr>
      <w:r>
        <w:rPr/>
      </w:r>
    </w:p>
    <w:p>
      <w:pPr>
        <w:pStyle w:val="BodyText"/>
        <w:tabs>
          <w:tab w:val="clear" w:pos="180"/>
          <w:tab w:val="left" w:pos="-1440" w:leader="none"/>
          <w:tab w:val="left" w:pos="-720" w:leader="none"/>
          <w:tab w:val="right" w:pos="-540" w:leader="none"/>
          <w:tab w:val="left" w:pos="0" w:leader="none"/>
          <w:tab w:val="left" w:pos="720" w:leader="none"/>
          <w:tab w:val="left" w:pos="1440" w:leader="none"/>
          <w:tab w:val="left" w:pos="2160" w:leader="none"/>
          <w:tab w:val="right" w:pos="5490" w:leader="none"/>
          <w:tab w:val="right" w:pos="7470" w:leader="none"/>
          <w:tab w:val="right" w:pos="9450" w:leader="none"/>
        </w:tabs>
        <w:rPr/>
      </w:pPr>
      <w:r>
        <w:rPr/>
        <w:tab/>
        <w:t>Enron has an office in Oslo which accesses the power trading opportunities available in the Nordic region, the most open market for power trading in the Europe region.  Enron provides power risk management services to regional municipalities, utilities and large industrials.  Enron was appointed market maker for all base load electricity trades on the Nord Pool Nordic Power Exchange.  During 1999, Enron’s power volumes in the United Kingdom and Nordic countries totaled ___ million megawatt hours.</w:t>
      </w:r>
    </w:p>
    <w:p>
      <w:pPr>
        <w:pStyle w:val="BodyText"/>
        <w:tabs>
          <w:tab w:val="clear" w:pos="180"/>
          <w:tab w:val="left" w:pos="-1440" w:leader="none"/>
          <w:tab w:val="left" w:pos="-720" w:leader="none"/>
          <w:tab w:val="right" w:pos="-540" w:leader="none"/>
          <w:tab w:val="left" w:pos="0" w:leader="none"/>
          <w:tab w:val="left" w:pos="720" w:leader="none"/>
          <w:tab w:val="left" w:pos="1440" w:leader="none"/>
          <w:tab w:val="left" w:pos="2160" w:leader="none"/>
          <w:tab w:val="right" w:pos="5490" w:leader="none"/>
          <w:tab w:val="right" w:pos="7470" w:leader="none"/>
          <w:tab w:val="right" w:pos="9450" w:leader="none"/>
        </w:tabs>
        <w:rPr/>
      </w:pPr>
      <w:r>
        <w:rPr/>
      </w:r>
    </w:p>
    <w:p>
      <w:pPr>
        <w:pStyle w:val="BodyText"/>
        <w:tabs>
          <w:tab w:val="clear" w:pos="0"/>
          <w:tab w:val="clear" w:pos="180"/>
          <w:tab w:val="clear" w:pos="720"/>
          <w:tab w:val="clear" w:pos="1440"/>
          <w:tab w:val="clear" w:pos="2160"/>
          <w:tab w:val="clear" w:pos="5490"/>
          <w:tab w:val="clear" w:pos="7470"/>
          <w:tab w:val="clear" w:pos="9450"/>
          <w:tab w:val="left" w:pos="-1440" w:leader="none"/>
          <w:tab w:val="left" w:pos="-720" w:leader="none"/>
          <w:tab w:val="right" w:pos="-540" w:leader="none"/>
        </w:tabs>
        <w:suppressAutoHyphens w:val="false"/>
        <w:rPr>
          <w:spacing w:val="0"/>
        </w:rPr>
      </w:pPr>
      <w:r>
        <w:rPr>
          <w:spacing w:val="0"/>
        </w:rPr>
        <w:tab/>
        <w:t>Enron has also invested in continental Europe where there is a need for energy infrastructure and an interest from large industrials to restructure their energy supply contracts and to benefit from more liberalized gas and power markets.  Enron made its first power trade in continental Europe in 1998, and these volumes are continuing to increase. Enron owns a gas-fired power plant of approximately 125 megawatts, owned jointly with the second largest regional utility in Germany.  Enron has a 97.5% interest in a natural gas fired, 116-megawatt electric, 70-megawatt thermal power plant to be located in Nowa Sarzyna, Poland.  Enron is the turnkey contractor and will be the operator of the plant.  Twenty-year power purchase agreements have been signed with the Polish power grid company for electricity and with a state-owned chemical company and the City of Nowa Sarzyna for steam.  Financing was completed and construction began in early 1998, with commercial operation commencing in __________.  Enron is pursuing other opportunities such as joint ventures with national utilities or other energy companies in the development, operation or construction of power generation facilities across Europe, including Spain, Croatia and Italy.</w:t>
      </w:r>
    </w:p>
    <w:p>
      <w:pPr>
        <w:pStyle w:val="Footer"/>
        <w:tabs>
          <w:tab w:val="clear" w:pos="4320"/>
          <w:tab w:val="clear" w:pos="8640"/>
        </w:tabs>
        <w:rPr>
          <w:rFonts w:ascii="Courier New" w:hAnsi="Courier New" w:cs="Courier New"/>
          <w:spacing w:val="0"/>
        </w:rPr>
      </w:pPr>
      <w:r>
        <w:rPr>
          <w:rFonts w:cs="Courier New" w:ascii="Courier New" w:hAnsi="Courier New"/>
          <w:spacing w:val="0"/>
        </w:rPr>
      </w:r>
    </w:p>
    <w:p>
      <w:pPr>
        <w:pStyle w:val="BodyText"/>
        <w:rPr>
          <w:b/>
        </w:rPr>
      </w:pPr>
      <w:r>
        <w:rPr>
          <w:b/>
        </w:rPr>
        <w:t>Developing and Deregulating Markets</w:t>
      </w:r>
    </w:p>
    <w:p>
      <w:pPr>
        <w:pStyle w:val="BodyText"/>
        <w:rPr>
          <w:b/>
        </w:rPr>
      </w:pPr>
      <w:r>
        <w:rPr>
          <w:b/>
        </w:rPr>
      </w:r>
    </w:p>
    <w:p>
      <w:pPr>
        <w:pStyle w:val="BodyText"/>
        <w:tabs>
          <w:tab w:val="clear" w:pos="180"/>
          <w:tab w:val="left" w:pos="-1440" w:leader="none"/>
          <w:tab w:val="left" w:pos="-720" w:leader="none"/>
          <w:tab w:val="right" w:pos="-540" w:leader="none"/>
          <w:tab w:val="left" w:pos="0" w:leader="none"/>
          <w:tab w:val="left" w:pos="720" w:leader="none"/>
          <w:tab w:val="left" w:pos="1440" w:leader="none"/>
          <w:tab w:val="left" w:pos="2160" w:leader="none"/>
          <w:tab w:val="right" w:pos="5490" w:leader="none"/>
          <w:tab w:val="right" w:pos="7470" w:leader="none"/>
          <w:tab w:val="right" w:pos="9450" w:leader="none"/>
        </w:tabs>
        <w:rPr/>
      </w:pPr>
      <w:r>
        <w:rPr/>
        <w:tab/>
        <w:t>In many markets outside of North America and Europe, a shortage of energy infrastructure exists, providing Enron significant opportunities to develop, construct, promote and operate natural gas pipeline, power plants and other energy infrastructure.  In these markets, Enron’s strategy is to facilitate completion of vital energy assets and investments which will connect areas of energy supply to areas where energy is consumed.  By creating energy networks, Enron seeks to provide reliable delivery of physical energy commodities and develop risk management and financing services to wholesale customers in key international regions.  Enron has developed regional wholesale energy businesses around its international asset base in both South America and in India and continues to pursue a range of energy infrastructure opportunities outside of North America and Europe.</w:t>
      </w:r>
    </w:p>
    <w:p>
      <w:pPr>
        <w:pStyle w:val="BodyText"/>
        <w:rPr/>
      </w:pPr>
      <w:r>
        <w:rPr/>
      </w:r>
    </w:p>
    <w:p>
      <w:pPr>
        <w:pStyle w:val="BodyText"/>
        <w:tabs>
          <w:tab w:val="clear" w:pos="180"/>
          <w:tab w:val="left" w:pos="-1440" w:leader="none"/>
          <w:tab w:val="left" w:pos="-720" w:leader="none"/>
          <w:tab w:val="right" w:pos="-540" w:leader="none"/>
          <w:tab w:val="left" w:pos="0" w:leader="none"/>
          <w:tab w:val="left" w:pos="720" w:leader="none"/>
          <w:tab w:val="left" w:pos="1440" w:leader="none"/>
          <w:tab w:val="left" w:pos="2160" w:leader="none"/>
          <w:tab w:val="right" w:pos="5490" w:leader="none"/>
          <w:tab w:val="right" w:pos="7470" w:leader="none"/>
          <w:tab w:val="right" w:pos="9450" w:leader="none"/>
        </w:tabs>
        <w:rPr/>
      </w:pPr>
      <w:r>
        <w:rPr/>
        <w:tab/>
        <w:t>Enron’s energy infrastructure projects are, to varying degrees, subject to all the risks associated with project development, construction and financing in foreign countries, including without limitation, the receipt of permits and consents, the availability of project financing on acceptable terms, expropriation of assets, renegotiation of contracts with foreign governments and political instability, as well as changes in laws and policies governing operations of foreign-based businesses generally.</w:t>
      </w:r>
    </w:p>
    <w:p>
      <w:pPr>
        <w:pStyle w:val="BodyText"/>
        <w:rPr/>
      </w:pPr>
      <w:r>
        <w:rPr/>
      </w:r>
    </w:p>
    <w:p>
      <w:pPr>
        <w:pStyle w:val="BodyText"/>
        <w:rPr/>
      </w:pPr>
      <w:r>
        <w:rPr/>
        <w:tab/>
        <w:tab/>
      </w:r>
      <w:r>
        <w:rPr>
          <w:u w:val="single"/>
        </w:rPr>
        <w:t>India</w:t>
      </w:r>
    </w:p>
    <w:p>
      <w:pPr>
        <w:pStyle w:val="BodyText"/>
        <w:rPr>
          <w:u w:val="single"/>
        </w:rPr>
      </w:pPr>
      <w:r>
        <w:rPr>
          <w:u w:val="single"/>
        </w:rPr>
      </w:r>
    </w:p>
    <w:p>
      <w:pPr>
        <w:pStyle w:val="BodyText"/>
        <w:tabs>
          <w:tab w:val="clear" w:pos="180"/>
          <w:tab w:val="left" w:pos="-1440" w:leader="none"/>
          <w:tab w:val="left" w:pos="-720" w:leader="none"/>
          <w:tab w:val="right" w:pos="-540" w:leader="none"/>
          <w:tab w:val="left" w:pos="0" w:leader="none"/>
          <w:tab w:val="left" w:pos="720" w:leader="none"/>
          <w:tab w:val="left" w:pos="1440" w:leader="none"/>
          <w:tab w:val="left" w:pos="2160" w:leader="none"/>
          <w:tab w:val="right" w:pos="5490" w:leader="none"/>
          <w:tab w:val="right" w:pos="7470" w:leader="none"/>
          <w:tab w:val="right" w:pos="9450" w:leader="none"/>
        </w:tabs>
        <w:rPr/>
      </w:pPr>
      <w:r>
        <w:rPr/>
        <w:tab/>
        <w:t xml:space="preserve">In India, Enron’s strategy is to deliver natural gas to the west coast of India to fuel Enron’s own gas-fired power plants as well as to deliver natural gas to the industrial regions further north in India and to new power plants expected to be constructed in southern India.  </w:t>
      </w:r>
    </w:p>
    <w:p>
      <w:pPr>
        <w:pStyle w:val="BodyText"/>
        <w:rPr/>
      </w:pPr>
      <w:r>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In connection with a Power Purchase Agreement between Dabhol Power Company, Enron's 50%-owned subsidiary, and the Maharashtra State Electricity Board (the “MSEB”), Dabhol Power Company has constructed Phase I of an electricity generating power plant south of Mumbai, State of Maharashtra, India.  The power plant has an initial capacity of 740 megawatts (or 826 megawatts gross) (Phase I), which began commercial operations in early 1999.  Enron is the fuel manager and operator of the plant, which provides electricity for the growing Maharashtra State economy.</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rPr>
      </w:pPr>
      <w:r>
        <w:rPr>
          <w:rFonts w:cs="Courier New" w:ascii="Courier New" w:hAnsi="Courier New"/>
        </w:rPr>
        <w:tab/>
        <w:t>Enron is currently developing Phase II of the Dabhol power project, a 1,624-megawatt combined-cycle power plant to be fueled by natural gas.  A 20-year power purchase agreement has been signed with the MSEB.  Financing of Phase II is completed, with commercial operations expected to commence in 2001.  Phase II will include construction of a liquefied natural gas (LNG) terminal and harbor, which will be capable of handling LNG to fuel both the Dabhol power projects and for additional natural gas demand in India.</w:t>
      </w:r>
    </w:p>
    <w:p>
      <w:pPr>
        <w:pStyle w:val="BodyText"/>
        <w:rPr>
          <w:rFonts w:ascii="Courier New" w:hAnsi="Courier New" w:cs="Courier New"/>
        </w:rPr>
      </w:pPr>
      <w:r>
        <w:rPr>
          <w:rFonts w:cs="Courier New"/>
        </w:rPr>
      </w:r>
    </w:p>
    <w:p>
      <w:pPr>
        <w:pStyle w:val="BodyText"/>
        <w:rPr/>
      </w:pPr>
      <w:r>
        <w:rPr/>
        <w:tab/>
        <w:tab/>
      </w:r>
      <w:r>
        <w:rPr>
          <w:u w:val="single"/>
        </w:rPr>
        <w:t>South America</w:t>
      </w:r>
    </w:p>
    <w:p>
      <w:pPr>
        <w:pStyle w:val="BodyText"/>
        <w:rPr>
          <w:u w:val="single"/>
        </w:rPr>
      </w:pPr>
      <w:r>
        <w:rPr>
          <w:u w:val="single"/>
        </w:rPr>
      </w:r>
    </w:p>
    <w:p>
      <w:pPr>
        <w:pStyle w:val="BodyText"/>
        <w:tabs>
          <w:tab w:val="clear" w:pos="180"/>
          <w:tab w:val="left" w:pos="-1440" w:leader="none"/>
          <w:tab w:val="left" w:pos="-720" w:leader="none"/>
          <w:tab w:val="right" w:pos="-540" w:leader="none"/>
          <w:tab w:val="left" w:pos="0" w:leader="none"/>
          <w:tab w:val="left" w:pos="720" w:leader="none"/>
          <w:tab w:val="left" w:pos="1440" w:leader="none"/>
          <w:tab w:val="left" w:pos="2160" w:leader="none"/>
          <w:tab w:val="right" w:pos="5490" w:leader="none"/>
          <w:tab w:val="right" w:pos="7470" w:leader="none"/>
          <w:tab w:val="right" w:pos="9450" w:leader="none"/>
        </w:tabs>
        <w:rPr/>
      </w:pPr>
      <w:r>
        <w:rPr/>
        <w:tab/>
        <w:t>In South America, Enron owns and operates several investments which collectively comprise the asset base for its integrated business strategy.  Enron acquired its initial interest in Transportadora de Gas del Sur (“TGS”) in 1992, when the state privatized its natural gas pipeline systems.  The 4,104-mile pipeline system has a capacity of approximately 1.9 Bcf per day and primarily serves four distribution companies in the greater Buenos Aries area under long-term, firm transportation contracts.</w:t>
      </w:r>
    </w:p>
    <w:p>
      <w:pPr>
        <w:pStyle w:val="BodyText"/>
        <w:rPr/>
      </w:pPr>
      <w:r>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tab/>
      </w:r>
      <w:r>
        <w:rPr>
          <w:rFonts w:cs="Courier New" w:ascii="Courier New" w:hAnsi="Courier New"/>
        </w:rPr>
        <w:t xml:space="preserve">Enron has </w:t>
      </w:r>
      <w:r>
        <w:rPr>
          <w:rFonts w:cs="Courier New" w:ascii="Courier New" w:hAnsi="Courier New"/>
          <w:spacing w:val="-2"/>
        </w:rPr>
        <w:t>a 25% interest in Transredes Transporte de Hidrocarburos S.A. (“Transredes”), a 3,093-mile system of natural gas, crude oil and products pipelines located in Bolivia and connecting Bolivian oil and gas reserves to major markets in Bolivia.  Enron is upgrading Transredes’ existing pipeline operations and increasing the capacity of the pipeline system to 1.3 Bcf per day to supply market needs primarily in eastern Brazil.</w:t>
      </w:r>
    </w:p>
    <w:p>
      <w:pPr>
        <w:pStyle w:val="BodyText"/>
        <w:rPr>
          <w:rFonts w:ascii="Courier New" w:hAnsi="Courier New" w:cs="Courier New"/>
          <w:spacing w:val="-2"/>
        </w:rPr>
      </w:pPr>
      <w:r>
        <w:rPr>
          <w:rFonts w:cs="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tab/>
      </w:r>
      <w:r>
        <w:rPr>
          <w:rFonts w:cs="Courier New" w:ascii="Courier New" w:hAnsi="Courier New"/>
          <w:spacing w:val="-2"/>
        </w:rPr>
        <w:t>Enron is developing, along with Petrobras, the national oil and gas company of Brazil, and others, a pipeline which will connect with Transredes in Bolivia and transport natural gas to markets in Brazil.  The pipeline project includes an approximately 1,864-mile natural gas pipeline from Santa Cruz, Bolivia to Porto Alegre, Brazil.  Enron currently owns (including through its ownership interest in Transredes) 29.75% of the Bolivian segment of the pipeline and 7% of the Brazilian segment of the pipeline.  Commercial operation of the first phase of the pipeline commenced in ______.</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rFonts w:cs="Courier New" w:ascii="Courier New" w:hAnsi="Courier New"/>
          <w:spacing w:val="-2"/>
        </w:rPr>
        <w:tab/>
        <w:t>Enron is developing a 480-megawatt combined-cycle power plant at Cuiaba in the State of Mato Grosso in western Brazil to feed power into the Brazilian energy grid in Cuiaba, at a strategic delivery point having few existing alternate generation sources.  Construction is underway on Phase I of the project (150 megawatts), with commercial operations expected in early 1999.</w:t>
      </w:r>
      <w:r>
        <w:rPr>
          <w:rFonts w:cs="Courier New" w:ascii="Courier New" w:hAnsi="Courier New"/>
          <w:b/>
          <w:spacing w:val="-2"/>
        </w:rPr>
        <w:t>[UPDATE]</w:t>
      </w:r>
      <w:r>
        <w:rPr>
          <w:rFonts w:cs="Courier New" w:ascii="Courier New" w:hAnsi="Courier New"/>
          <w:spacing w:val="-2"/>
        </w:rPr>
        <w:t xml:space="preserve">  Commercial operations of Phase II (additional 150 megawatts) and Phase III (additional 180 megawatts) are expected to commence in 2000.  As an additional part of this project, Enron is developing a 385-mile, 18-inch natural gas pipeline connecting to the Bolivia to Brazil pipeline in Bolivia.  Including its ownership interest through Transredes, Enron owns 65.625% of the power plant, 50% of the Brazilian segment of the pipeline and 20% of the Bolivian segment of the pipeline.</w:t>
      </w:r>
    </w:p>
    <w:p>
      <w:pPr>
        <w:pStyle w:val="BodyText"/>
        <w:rPr>
          <w:rFonts w:ascii="Courier New" w:hAnsi="Courier New" w:cs="Courier New"/>
          <w:spacing w:val="-2"/>
        </w:rPr>
      </w:pPr>
      <w:r>
        <w:rPr>
          <w:rFonts w:cs="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has an interest in the Rio de Janeiro municipal gas distribution company, the gas distribution company of the State of Rio de Janeiro and natural gas distribution systems in seven other Brazilian states.  These systems encompass an area with a population of approximately 55 million people.  Through these ownership interests, Enron has long-term franchises for gas distribution in the largest gas consuming regions in Brazil.</w:t>
      </w:r>
    </w:p>
    <w:p>
      <w:pPr>
        <w:pStyle w:val="BodyText"/>
        <w:rPr>
          <w:rFonts w:ascii="Courier New" w:hAnsi="Courier New" w:cs="Courier New"/>
          <w:spacing w:val="-2"/>
        </w:rPr>
      </w:pPr>
      <w:r>
        <w:rPr>
          <w:rFonts w:cs="Courier New"/>
          <w:spacing w:val="-2"/>
        </w:rPr>
      </w:r>
    </w:p>
    <w:p>
      <w:pPr>
        <w:pStyle w:val="BodyText"/>
        <w:tabs>
          <w:tab w:val="clear" w:pos="180"/>
          <w:tab w:val="left" w:pos="-1440" w:leader="none"/>
          <w:tab w:val="left" w:pos="-720" w:leader="none"/>
          <w:tab w:val="right" w:pos="-540" w:leader="none"/>
          <w:tab w:val="left" w:pos="0" w:leader="none"/>
          <w:tab w:val="left" w:pos="720" w:leader="none"/>
          <w:tab w:val="left" w:pos="1440" w:leader="none"/>
          <w:tab w:val="left" w:pos="2160" w:leader="none"/>
          <w:tab w:val="right" w:pos="5490" w:leader="none"/>
          <w:tab w:val="right" w:pos="7470" w:leader="none"/>
          <w:tab w:val="right" w:pos="9450" w:leader="none"/>
        </w:tabs>
        <w:rPr/>
      </w:pPr>
      <w:r>
        <w:rPr/>
        <w:tab/>
        <w:t>Enron has an interest in Elektro-Electricidades e Serviços S.A. (“Elektro”).  Elektro has a 51,000-mile transmission system for the distribution of electricity to approximately 1.5 million consumers throughout 228 municipalities in the State of São Paulo, and a number of other municipalities in the State of Mato Grosso do Sul, Brazil.</w:t>
      </w:r>
    </w:p>
    <w:p>
      <w:pPr>
        <w:pStyle w:val="BodyText"/>
        <w:rPr/>
      </w:pPr>
      <w:r>
        <w:rPr/>
      </w:r>
    </w:p>
    <w:p>
      <w:pPr>
        <w:pStyle w:val="BodyText"/>
        <w:rPr/>
      </w:pPr>
      <w:r>
        <w:rPr/>
        <w:tab/>
        <w:tab/>
      </w:r>
      <w:r>
        <w:rPr>
          <w:u w:val="single"/>
        </w:rPr>
        <w:t>Other</w:t>
      </w:r>
    </w:p>
    <w:p>
      <w:pPr>
        <w:pStyle w:val="BodyText"/>
        <w:rPr>
          <w:u w:val="single"/>
        </w:rPr>
      </w:pPr>
      <w:r>
        <w:rPr>
          <w:u w:val="single"/>
        </w:rPr>
      </w:r>
    </w:p>
    <w:p>
      <w:pPr>
        <w:pStyle w:val="BodyText"/>
        <w:tabs>
          <w:tab w:val="clear" w:pos="180"/>
          <w:tab w:val="left" w:pos="-1440" w:leader="none"/>
          <w:tab w:val="left" w:pos="-720" w:leader="none"/>
          <w:tab w:val="right" w:pos="-540" w:leader="none"/>
          <w:tab w:val="left" w:pos="0" w:leader="none"/>
          <w:tab w:val="left" w:pos="720" w:leader="none"/>
          <w:tab w:val="left" w:pos="1440" w:leader="none"/>
          <w:tab w:val="left" w:pos="2160" w:leader="none"/>
          <w:tab w:val="right" w:pos="5490" w:leader="none"/>
          <w:tab w:val="right" w:pos="7470" w:leader="none"/>
          <w:tab w:val="right" w:pos="9450" w:leader="none"/>
        </w:tabs>
        <w:rPr/>
      </w:pPr>
      <w:r>
        <w:rPr/>
        <w:tab/>
        <w:t>As a result of its development and construction activities, Enron owns or operates various other energy assets and investments, including the following:</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has a 50% interest in an approximately 110-megawatt fuel-oil-fired diesel engine power plant mounted on two movable barges at Puerto Quetzal on Guatemala's Pacific Coast.  The U.S. flagged vessels went into commercial operation in February 1993, and sell all of their power output under a long-term contract to a large Guatemalan electric utility, a majority interest in which is owned by Guatemala's national electric utility.</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currently has interests in two power plants in the Philippines.  The Batangas power project, owned 100% by Enron, is an approximately 110-megawatt fuel-oil-fired diesel engine plant located at Pinamucan, Batangas, on Luzon Island, which began commercial operation in July 1993.  The Subic Bay power project, owned 50% by Enron, is an approximately 116-megawatt fuel-oil-fired diesel engine plant located at the Subic Bay Freeport complex on Luzon Island, which began commercial operation in February 1994.  Both projects were developed by Enron and sell power to the National Power Corporation of the Philippines.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operates a 185-megawatt barge-mounted combined-cycle power plant at Puerto Plata on the north coast of the Dominican Republic.  The plant began operation in January 1996.  Power is sold pursuant to a 19-year power purchase agreement with the Dominican Republic government utility.</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has a 50% interest in an approximately 357-mile natural gas pipeline which runs from the northern coast of Colombia to the central region of the country.  Ecopetrol, the state-owned oil company of Colombia, is the sole customer for the transportation services and has a 15-year contractual commitment to pay for all of the initial capacity.</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has a 100% interest in a 152-megawatt diesel combined-cycle power plant on Hainan Island, an economic free trade zone off the southeastern coast of China.  The independent power project is the first such project developed by a U.S. company in China.  An Enron affiliate is operator and fuel manager.</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has a 50% interest in an 80-megawatt baseload diesel power plant located in Piti, Guam.  The project includes a 20-year power purchase agreement with the Guam Power Authority, an agency of the Guam government.  Operations commenced in early 1999.</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rFonts w:cs="Courier New" w:ascii="Courier New" w:hAnsi="Courier New"/>
          <w:spacing w:val="-2"/>
        </w:rPr>
        <w:tab/>
        <w:t xml:space="preserve">Enron has an interest in a 507-megawatt combined-cycle power plant, including a liquefied natural gas terminal and desalination facility, under construction in Penuelas, Puerto Rico.  Enron is the operator of the project, which includes a 22-year power purchase agreement with the Puerto Rico Electric Power Authority.  Commercial operations commenced in </w:t>
      </w:r>
      <w:r>
        <w:rPr>
          <w:rFonts w:cs="Courier New" w:ascii="Courier New" w:hAnsi="Courier New"/>
          <w:b/>
          <w:spacing w:val="-2"/>
        </w:rPr>
        <w:t>[_________].</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b/>
          <w:spacing w:val="-2"/>
        </w:rPr>
      </w:pPr>
      <w:r>
        <w:rPr>
          <w:rFonts w:cs="Courier New" w:ascii="Courier New" w:hAnsi="Courier New"/>
          <w:b/>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In addition to the projects referenced above, Enron is involved in projects in varying stages of development in Europe, Mozambique, Qatar, China, Egypt and Saudi Arabia, and is pursuing projects elsewhere.</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pPr>
      <w:r>
        <w:rPr>
          <w:rFonts w:cs="Courier New" w:ascii="Courier New" w:hAnsi="Courier New"/>
          <w:b/>
          <w:spacing w:val="-2"/>
        </w:rPr>
        <w:tab/>
      </w:r>
      <w:r>
        <w:rPr>
          <w:rFonts w:cs="Courier New" w:ascii="Courier New" w:hAnsi="Courier New"/>
          <w:spacing w:val="-2"/>
        </w:rPr>
        <w:t>Certain of Enron's operations in the Caribbean area are conducted through Enron Americas, Inc. and its subsidiary companies.  Enron Americas' subsidiary Industrias Ventane, organized in 1953, operates the leading natural gas liquids transportation and distribution business in Venezuela.  Enron has a natural gas distribution system in Puerto Rico, and liquid fuels businesses in both Puerto Rico and Jamaica.</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Heading3"/>
        <w:ind w:hanging="0" w:start="0"/>
        <w:rPr/>
      </w:pPr>
      <w:r>
        <w:rPr/>
        <w:t>Enron Broadband Services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Broadband Services is establishing a global platform for premium broadband delivery services.  Enron Broadband Services is utilizing a pure fiber optic domestic network to make high-bandwidth content delivery, such as video and intensive data transfer, more efficient and cost effective.  Enron believes that high-bandwidth content delivery is the next level of Internet performance and an important platform for eCommerce.  Enron is a single source for broadband services:  a mixture of hardware, software, market-making, finance and applications.  Potential customers include content providers, application developers, network carriers, Internet service providers and corporate end-users.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tab/>
        <w:t>Enron Broadband Services includes the following components: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numPr>
          <w:ilvl w:val="0"/>
          <w:numId w:val="2"/>
        </w:numPr>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ind w:hanging="360" w:start="720" w:end="0"/>
        <w:jc w:val="both"/>
        <w:rPr>
          <w:rFonts w:ascii="Courier New" w:hAnsi="Courier New" w:cs="Courier New"/>
          <w:spacing w:val="-2"/>
        </w:rPr>
      </w:pPr>
      <w:r>
        <w:rPr>
          <w:rFonts w:cs="Courier New" w:ascii="Courier New" w:hAnsi="Courier New"/>
          <w:spacing w:val="-2"/>
        </w:rPr>
        <w:t>The Enron Intelligent Network.  A high capacity fiber optic network, based on a distributed server architecture, the Enron Intelligent Network’s global fiber and satellite distribution and imbedded software intelligence bypasses traditional fragmented and bottlenecked public internet routes to deliver faster, higher quality data.  Enron’s Broadband Operating System (BOS) provides the intelligence to the Enron Intelligent Network and connects to all physical and software network elements.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ind w:start="720" w:end="0"/>
        <w:jc w:val="both"/>
        <w:rPr>
          <w:rFonts w:ascii="Courier New" w:hAnsi="Courier New" w:cs="Courier New"/>
          <w:spacing w:val="-2"/>
        </w:rPr>
      </w:pPr>
      <w:r>
        <w:rPr>
          <w:rFonts w:cs="Courier New" w:ascii="Courier New" w:hAnsi="Courier New"/>
          <w:spacing w:val="-2"/>
        </w:rPr>
      </w:r>
    </w:p>
    <w:p>
      <w:pPr>
        <w:pStyle w:val="Normal"/>
        <w:numPr>
          <w:ilvl w:val="0"/>
          <w:numId w:val="3"/>
        </w:numPr>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ind w:hanging="360" w:start="720" w:end="0"/>
        <w:jc w:val="both"/>
        <w:rPr>
          <w:rFonts w:ascii="Courier New" w:hAnsi="Courier New" w:cs="Courier New"/>
          <w:spacing w:val="-2"/>
        </w:rPr>
      </w:pPr>
      <w:r>
        <w:rPr>
          <w:rFonts w:cs="Courier New" w:ascii="Courier New" w:hAnsi="Courier New"/>
          <w:spacing w:val="-2"/>
        </w:rPr>
        <w:t>Bandwidth intermediation for real-time bandwidth on demand.  Unless it travels a dedicated network, data must pass through a relay of several separate network operators to its final destination, which can take a significant amount of time to negotiate capacity purchases with so many parties involved.  Enron serves as a bandwidth market-maker buying pooling-point-to-pooling-point bandwidth inventory that it will resell on an as-needed basis at real-time market rates.  Purchasers will be able to reduce costs by paying for only the bandwidth they use, at prices that reflect the current market.</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numPr>
          <w:ilvl w:val="0"/>
          <w:numId w:val="3"/>
        </w:numPr>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ind w:hanging="360" w:start="720" w:end="0"/>
        <w:jc w:val="both"/>
        <w:rPr>
          <w:rFonts w:ascii="Courier New" w:hAnsi="Courier New" w:cs="Courier New"/>
          <w:spacing w:val="-2"/>
        </w:rPr>
      </w:pPr>
      <w:r>
        <w:rPr>
          <w:rFonts w:cs="Courier New" w:ascii="Courier New" w:hAnsi="Courier New"/>
          <w:spacing w:val="-2"/>
        </w:rPr>
        <w:t>Enron’s application services for managing and delivering streaming content.  The Enron Intelligent Network and Enron’s BOS enable new application services, called ePowered Services, which transports rich media and live, streaming video significantly faster than the public Internet.  Customers for ePowered Services include media and entertainment, financial services, general enterprise and technology companies.</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BodyText"/>
        <w:tabs>
          <w:tab w:val="clear" w:pos="180"/>
          <w:tab w:val="clear" w:pos="5490"/>
          <w:tab w:val="clear" w:pos="7470"/>
          <w:tab w:val="clear" w:pos="9450"/>
          <w:tab w:val="left" w:pos="-1440" w:leader="none"/>
          <w:tab w:val="left" w:pos="-720" w:leader="none"/>
          <w:tab w:val="right" w:pos="-54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rPr/>
      </w:pPr>
      <w:r>
        <w:rPr/>
        <w:tab/>
        <w:t>In the United States, Enron owns or has contractual access to over 12,000 miles of fiber optic network.  The network connects to every major U.S. city and is anticipated to be linked to Tokyo and several major European cities.  Control of this network allows Enron to contract for firm bandwidth delivery commitments to support Enron’s bandwidth intermediation business.  Enron completed the first bandwidth trade in December 1999, a monthly incremental contract for DS-3 bandwidth between New York City and Los Angeles (DS-3 can move 45 megabits per second, enough for streaming video).  Enron believes that the same skills apply to the bandwidth market as to merchant energy services, and Enron’s plans call for providing risk management products, structured finance, investment and bandwidth portfolio management to the broadband market.</w:t>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center"/>
        <w:rPr>
          <w:rFonts w:ascii="Courier New" w:hAnsi="Courier New" w:cs="Courier New"/>
          <w:spacing w:val="-2"/>
        </w:rPr>
      </w:pPr>
      <w:r>
        <w:rPr>
          <w:rFonts w:cs="Courier New" w:ascii="Courier New" w:hAnsi="Courier New"/>
          <w:b/>
          <w:spacing w:val="-2"/>
        </w:rPr>
        <w:t>RETAIL ENERGY SERVICES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center"/>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tab/>
        <w:tab/>
        <w:t>Enron Energy Services (“Energy Services”) is a nationwide provider of energy outsourcing products and services to business customers.  This includes sales of natural gas, electricity and energy management services directly to commercial and industrial customers, as well as investments in related businesses.  Energy Services provides end-users with a broad range of energy products and services at competitive prices.  These products and services include energy tariff and information management, demand-side services and financial services.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tab/>
        <w:tab/>
        <w:t>Energy Services’ products and services help commercial and industrial businesses understand how they can maximize total energy savings while meeting their operational needs.  With a focus on total energy savings and nationwide commodity, services and finance capabilities, Energy Services provides outsourcing and other innovative programs not only to supply electricity and natural gas to businesses, but also to manage unregulated energy assets to reduce their energy consumption, delivery and billing costs, to eliminate inefficiencies of decentralized systems and to minimize the risk of energy prices and operations to the customer.</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center"/>
        <w:rPr>
          <w:rFonts w:ascii="Courier New" w:hAnsi="Courier New" w:cs="Courier New"/>
          <w:spacing w:val="-2"/>
        </w:rPr>
      </w:pPr>
      <w:r>
        <w:rPr>
          <w:rFonts w:cs="Courier New" w:ascii="Courier New" w:hAnsi="Courier New"/>
          <w:b/>
          <w:spacing w:val="-2"/>
        </w:rPr>
        <w:t>OTHER ENRON BUSINESSES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rPr>
          <w:rFonts w:ascii="Courier New" w:hAnsi="Courier New" w:cs="Courier New"/>
          <w:b/>
          <w:spacing w:val="-2"/>
        </w:rPr>
      </w:pPr>
      <w:r>
        <w:rPr>
          <w:rFonts w:cs="Courier New" w:ascii="Courier New" w:hAnsi="Courier New"/>
          <w:b/>
          <w:spacing w:val="-2"/>
        </w:rPr>
      </w:r>
    </w:p>
    <w:p>
      <w:pPr>
        <w:pStyle w:val="Heading1"/>
        <w:ind w:hanging="0" w:start="0"/>
        <w:rPr/>
      </w:pPr>
      <w:r>
        <w:rPr/>
        <w:t>Water</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rPr>
          <w:rFonts w:ascii="Courier New" w:hAnsi="Courier New" w:cs="Courier New"/>
          <w:spacing w:val="-2"/>
        </w:rPr>
      </w:pPr>
      <w:r>
        <w:rPr>
          <w:rFonts w:cs="Courier New" w:ascii="Courier New" w:hAnsi="Courier New"/>
          <w:spacing w:val="-2"/>
        </w:rPr>
      </w:r>
    </w:p>
    <w:p>
      <w:pPr>
        <w:pStyle w:val="BodyText"/>
        <w:rPr/>
      </w:pPr>
      <w:r>
        <w:rPr/>
        <w:tab/>
        <w:tab/>
        <w:t>Azurix Corp. is a global water company engaged in the business of owning, operating and managing water and wastewater assets, providing water and wastewater related services and developing and managing water resources.  Enron formed Azurix in January 1998 to pursue opportunities in the global water industry.  Enron owns a 50% voting interest in Atlantic Water Trust, which currently owns approximately 67% of Azurix common stock, with public stockholders owning the remainder.  Azurix’s largest asset is Wessex Water Ltd, a water and wastewater company based in southwestern England.  Other assets include:  a 30-year water and wastewater concession in the Province of Buenos Aires, Argentina; interests in long-term water and wastewater concessions in the Province of Mendoza, Argentina and in Cancún, Mexico; and Azurix North America, a water and wastewater services company, formerly the businesses of Philip Utilities Management Corporation, with operations in nine U.S. states and five Canadian provinces, which has been expanded by subsequent acquisitions and contract awards.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rPr>
          <w:rFonts w:ascii="Courier New" w:hAnsi="Courier New" w:cs="Courier New"/>
          <w:b/>
          <w:spacing w:val="-2"/>
        </w:rPr>
      </w:pPr>
      <w:r>
        <w:rPr>
          <w:rFonts w:cs="Courier New" w:ascii="Courier New" w:hAnsi="Courier New"/>
          <w:b/>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rPr>
          <w:rFonts w:ascii="Courier New" w:hAnsi="Courier New" w:cs="Courier New"/>
          <w:b/>
          <w:spacing w:val="-2"/>
        </w:rPr>
      </w:pPr>
      <w:r>
        <w:rPr>
          <w:rFonts w:cs="Courier New" w:ascii="Courier New" w:hAnsi="Courier New"/>
          <w:b/>
          <w:spacing w:val="-2"/>
        </w:rPr>
        <w:t>Wind</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rPr>
          <w:rFonts w:ascii="Courier New" w:hAnsi="Courier New" w:cs="Courier New"/>
          <w:b/>
          <w:spacing w:val="-2"/>
        </w:rPr>
      </w:pPr>
      <w:r>
        <w:rPr>
          <w:rFonts w:cs="Courier New" w:ascii="Courier New" w:hAnsi="Courier New"/>
          <w:b/>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tab/>
        <w:tab/>
        <w:t xml:space="preserve">Enron is pursuing clean energy solutions in North America and Europe through Enron Wind Corp.  Enron Wind is an integrated manufacturer and developer of wind power, with manufacturing facilities in California and Germany.  </w:t>
      </w:r>
      <w:r>
        <w:rPr>
          <w:rFonts w:cs="Courier New" w:ascii="Courier New" w:hAnsi="Courier New"/>
          <w:b/>
          <w:spacing w:val="-2"/>
        </w:rPr>
        <w:t>[MORE TO COME]</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clear" w:pos="720"/>
          <w:tab w:val="center" w:pos="4680" w:leader="none"/>
        </w:tabs>
        <w:suppressAutoHyphens w:val="true"/>
        <w:jc w:val="both"/>
        <w:rPr>
          <w:rFonts w:ascii="Courier New" w:hAnsi="Courier New" w:cs="Courier New"/>
          <w:spacing w:val="-2"/>
        </w:rPr>
      </w:pPr>
      <w:r>
        <w:rPr>
          <w:rFonts w:cs="Courier New" w:ascii="Courier New" w:hAnsi="Courier New"/>
          <w:b/>
          <w:spacing w:val="-2"/>
        </w:rPr>
        <w:tab/>
        <w:t>REGULATION</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b/>
          <w:spacing w:val="-2"/>
        </w:rPr>
        <w:t>General</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Enron's interstate natural gas pipeline companies are subject to the regulatory jurisdiction of the FERC under the Natural Gas Act ("NGA") with respect to rates, accounts and records, the addition of facilities, the extension of services in some cases, the abandonment of services and facilities, the curtailment of gas deliveries and other matters.  Enron's intrastate pipeline companies are subject to state and some federal regulation.  Enron's importation of natural gas from Canada is subject to approval by the Office of Fossil Energy of the Department of Energy (“DOE”).  Certain activities of Enron are subject to the Natural Gas Policy Act of 1978 ("NGPA").  Enron's pipelines which carry natural gas liquids and refined petroleum products are subject to the regulatory jurisdiction of the FERC under the Interstate Commerce Act as to rates and conditions of service.</w:t>
      </w:r>
    </w:p>
    <w:p>
      <w:pPr>
        <w:pStyle w:val="Normal"/>
        <w:tabs>
          <w:tab w:val="left" w:pos="720" w:leader="none"/>
        </w:tabs>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Enron’s power marketing companies are subject to the FERC’s regulatory jurisdiction under the Federal Power Act (“FPA”) with respect to rates, terms and conditions of service and certain reporting requirements.  Certain of the power marketing companies’ exports of electricity are subject to approval by the DOE.  Enron’s affiliates involved in cogeneration and independent power production are subject to regulation by the FERC under the Public Utility Regulatory Policies Act (“PURPA”) and the FPA with respect to rates, the procurement and provision of certain services and operating standards.</w:t>
      </w:r>
    </w:p>
    <w:p>
      <w:pPr>
        <w:pStyle w:val="Normal"/>
        <w:tabs>
          <w:tab w:val="left" w:pos="720" w:leader="none"/>
        </w:tabs>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The regulatory structure that has historically applied to the natural gas and electric industry is in transition.  Legislative and regulatory initiatives, at both federal and state levels, are designed to supplement regulation with increasing competition.  Legislation to restructure the electric industry is under active consideration on both the federal and state levels.  Proposed federal legislation would make the electric industry more competitive by providing retail electric customers with the right to choose their power suppliers.  Modifications to PURPA and the Public Utility Holding Company Act of 1935 (“PUHCA”) have also been proposed.  In addition, new technology and interest in self-generation and cogeneration have provided opportunities for alternative sources and supplies of energy.  Retention of existing customers and potential growth of Enron’s customer base will depend, in part, upon the ability of Enron to respond to new customer expectations and changing economic and regulatory conditions.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tab/>
        <w:tab/>
        <w:t>Domestic legislation affecting the oil and gas industry is under constant review for amendment or expansion.  Also, numerous departments and agencies, both federal and state, are authorized by statute to issue and have issued rules and regulations which, among other things, require permits for the drilling of wells, regulate the spacing of wells, prevent the waste of natural gas and crude oil resources through proration, require drilling bonds and regulate environmental and safety matters.  The regulatory burden on the oil and gas industry increases its cost of doing business and, consequently, affects its ability to compete and profitability.</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Various federal, state and local laws and regulations covering the discharge of materials into the environment, or otherwise relating to the protection of the environment, may affect Enron's operations and costs through their effect on oil and gas exploration, development and production operations as well as their effect on the construction, operation and maintenance of pipeline and terminaling facilities.  It is not anticipated that Enron will be required in the near future to expend amounts that are material in relation to its total capital expenditures program by reason of environmental laws and regulations, but inasmuch as such laws and regulations are frequently changed, Enron is unable to predict the ultimate cost of compliance.</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Enron's international operations are subject to the jurisdiction of numerous governmental agencies in the countries in which its projects are located, with respect to environmental and other regulatory matters.  Generally, many of the countries in which Enron does and will do business have recently developed or are in the process of developing new regulatory and legal structures to accommodate private and foreign-owned businesses.  These regulatory and legal structures and their interpretation and application by administrative agencies are relatively new and sometimes limited.  Many detailed rules and procedures are yet to be issued.  The interpretation of existing rules can also be expected to evolve over time.  Although Enron believes that its operations are in compliance in all material respects with all applicable environmental laws and regulations in the applicable foreign jurisdictions, Enron also believes that the operations of its projects eventually may be required to meet standards that are comparable in many respects to those in effect in the United States and in countries within the European Community.  In addition, as Enron acquires additional projects in various countries, it will be affected by the environmental and other regulatory restrictions of such countries.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keepNext w:val="true"/>
        <w:keepLines/>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b/>
          <w:spacing w:val="-2"/>
        </w:rPr>
        <w:t>Natural Gas Rates and Regulations</w:t>
      </w:r>
    </w:p>
    <w:p>
      <w:pPr>
        <w:pStyle w:val="Normal"/>
        <w:keepNext w:val="true"/>
        <w:keepLines/>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Northern, Transwestern, Florida Gas and Northern Border are "natural gas companies" under the NGA and, as such, are subject to the jurisdiction of the FERC.  The FERC has jurisdiction over, among other things, the construction and operation of pipeline and related facilities used in the transportation, storage and sale of natural gas in interstate commerce, including the extension, expansion or abandonment of such facilities.  The FERC also has jurisdiction over the rates and charges for the transportation of natural gas in interstate commerce and the sale by a natural gas company of natural gas in interstate commerce for resale.  Northern, Transwestern, Florida Gas and Northern Border hold the required certificates of public convenience and necessity issued by the FERC authorizing them to construct and operate all of their pipelines, facilities and properties for which certificates are required in order to transport and sell natural gas for resale in interstate commerce.</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As necessary, Northern, Transwestern, Florida Gas and Northern Border file applications with the FERC for changes in their rates and charges designed to allow them to recover substantially all their costs of providing service to transportation customers, including a reasonable rate of return.  These rates are normally allowed to become effective after a suspension period, and in certain cases are subject to refund under applicable law, until such time as the FERC issues an order on the allowable level of rates.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Since 1985, the FERC has made natural gas transportation more accessible to gas buyers and sellers on an open and non-discriminatory basis.  These efforts have significantly altered the marketing and pricing of natural gas.  The FERC's Order No. 636, issued in April 1992, mandated a fundamental restructuring of interstate pipeline sales and transportation services.  Order No. 636 required interstate natural gas pipelines to "unbundle" or segregate the sales, transportation, storage, and other components of their existing sales service, and to separately state the rates for each unbundled service.  Order No. 636 also required interstate pipelines to assign capacity rights they had on upstream pipelines to such pipelines' former sales customers and provided for the recovery by interstate pipelines of costs associated with the transition from providing bundled sales services to providing unbundled transportation and storage services.  The purpose of Order No. 636 was to further enhance competition in the natural gas industry by assuring the comparability of pipeline sales service and services offered by a pipelines' competitors.  A key effect of Order No. 636 and its progeny has been to substantially eliminate merchant sales by pipelines like Northern, Transwestern and Florida Gas.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The series of 636 orders mandated a rate design, known as straight fixed variable, which is designed to allow pipelines to recover substantially all fixed costs, a return on equity and income taxes in the capacity reservation component of their rates.  Northern, Transwestern and Florida Gas have implemented the service restructuring required by such orders by unbundling their sales service, offering a limited market based merchant service and establishing a straight fixed variable rate design to recover all fixed costs, including return on equity, in the demand component of their rates.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Enron believes that, overall, Order No. 636 has had a positive impact on Enron and the natural gas industry as a whole.  The structural changes mandated by Order No. 636 have resulted in a more competitive industry.  The straight fixed variable rate design included in Order No. 636 allows pipelines to recover in the demand component of their rates all fixed costs, including income taxes and return on equity, allocated to firm customers.  Since a pipeline recovers demand costs regardless of whether gas is ever transported, the straight fixed variable rate design has reduced the volatility of the revenue stream to pipelines.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Additional proposals and proceedings that might affect the natural gas industry are pending before Congress, the FERC and the courts.  Enron cannot predict when or whether any such proposals or proceedings may become effective.</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The rates at which natural gas is sold in Texas to gas utilities serving customers within an incorporated area are subject to the original jurisdiction of the Railroad Commission of Texas.  The rates set by city councils or commissions for gas sold within their jurisdiction may be appealed to the Railroad Commission.  Regulation of intrastate gas sales and transportation by the Railroad Commission is governed by certain provisions of the Texas Gas Utility Regulatory Act of 1983.  The Railroad Commission also regulates production activities and to some degree the operation of affiliated special marketing programs.</w:t>
      </w:r>
    </w:p>
    <w:p>
      <w:pPr>
        <w:pStyle w:val="Normal"/>
        <w:tabs>
          <w:tab w:val="left" w:pos="720" w:leader="none"/>
        </w:tabs>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b/>
          <w:spacing w:val="-2"/>
        </w:rPr>
        <w:t>Electric Industry Regulation</w:t>
      </w:r>
    </w:p>
    <w:p>
      <w:pPr>
        <w:pStyle w:val="Normal"/>
        <w:tabs>
          <w:tab w:val="left" w:pos="720" w:leader="none"/>
        </w:tabs>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Historically, the electric industry has been subject to comprehensive regulation at the federal and state levels.  The FERC regulated sales of electric power at wholesale and the transmission of electric energy in interstate commerce pursuant to the FPA.  The FERC subjected public utilities under the FPA to rate and tariff regulation, accounting and reporting requirements, as well as oversight of mergers and acquisitions, securities issuances and dispositions of facilities.  States or local authorities have historically regulated the distribution and retail sale of electricity, as well as the construction of generating facilities.</w:t>
      </w:r>
    </w:p>
    <w:p>
      <w:pPr>
        <w:pStyle w:val="Normal"/>
        <w:tabs>
          <w:tab w:val="left" w:pos="720" w:leader="none"/>
        </w:tabs>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Enacted in 1978, PURPA created opportunities for independent power producers, including cogenerators.  If a generating project obtained the status of a “Qualifying Facility,” it was exempted by PURPA from most provisions of the FPA and certain state laws relating to securities, rate and financial regulation.  PURPA also required electric utilities (i) to purchase electricity generated by Qualifying Facilities at a price based on the utility’s avoided cost of purchasing electricity or generating electricity itself, and (ii) to sell supplementary, back-up, maintenance and interruptible power to Qualifying Facilities on a just and reasonable and non-discriminatory basis.</w:t>
      </w:r>
    </w:p>
    <w:p>
      <w:pPr>
        <w:pStyle w:val="Normal"/>
        <w:tabs>
          <w:tab w:val="left" w:pos="720" w:leader="none"/>
        </w:tabs>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PUHCA subjects certain entities that directly or indirectly own, control or hold the power to vote 10% of the outstanding voting securities of a “public utility company” or a company which is a “holding company” of a public utility company to registration requirements of the Securities and Exchange Commission (“SEC”) and regulation under PUHCA, unless the entity is eligible for an exemption or has been granted an SEC order declaring the entity not to be a holding company.  Affiliates, or direct or indirect holders of 5% of the voting securities of such companies, are also subject to regulation under PUHCA unless so eligible for an exemption or SEC order.  PUHCA requires registration for a holding company of a public utility company, and requires a public utility holding company to limit its operations to a single integrated utility system and to divest any other operations not functionally related to the operation of the utility system.  A public utility company which is a subsidiary of a registered holding company under PUHCA is subject to financial and organizational regulation, including SEC approval of its financing transactions.</w:t>
      </w:r>
    </w:p>
    <w:p>
      <w:pPr>
        <w:pStyle w:val="Normal"/>
        <w:tabs>
          <w:tab w:val="left" w:pos="720" w:leader="none"/>
        </w:tabs>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The Energy Policy Act of 1992 (“EP Act”) exempted from some traditional federal utility regulation generators selling power at wholesale in an effort to enhance competition in the wholesale generation market.  The EP Act also authorized FERC to require utilities to transport and deliver or “wheel” energy for the supply of bulk power to wholesale customers.</w:t>
      </w:r>
    </w:p>
    <w:p>
      <w:pPr>
        <w:pStyle w:val="Normal"/>
        <w:tabs>
          <w:tab w:val="left" w:pos="720" w:leader="none"/>
        </w:tabs>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Recent FERC regulatory initiatives are changing the electric power industry.  In April 1996, FERC paved the way for the transition to more competitive electric markets by issuing its Order Nos. 888 and 889.  Order No. 888 required utilities to provide third parties wholesale open access to transmission facilities on terms comparable to those that apply when utilities use their own systems.  Utilities were required by the order to file open access tariffs in July 1996.  Power pools, which are associations of interconnected electric transmission and distribution systems that have an agreement for integrated and coordinated operations, were directed to file their open access tariffs by the end of 1996.  These tariffs enable eligible parties to obtain wholesale transmission service over utilities’ transmission systems.  In Order No. 888, FERC stated its intention to permit utilities to recover legitimate, verifiable and prudently incurred costs that are rendered uneconomic or “stranded” as a result of customers taking advantage of wholesale open access to meet their power needs from others.  In Order No. 889, FERC required utilities owning transmission facilities to adopt procedures for an open access same-time information system (“OASIS”) that will make available, on a real-time basis, pertinent information concerning each transmission utility’s services.  The order also promulgated standards of conduct to ensure that utilities separate their transmission functions from their wholesale power merchant functions and to prevent the misuse of commercially valuable information.  In March 1997 FERC issued its orders on rehearing of Order Nos. 888 and 889.  In these orders FERC upheld the basic open access and OASIS regulatory framework established in Order Nos. 888 and 889, while making certain modifications to its open access and stranded cost recovery rules.</w:t>
      </w:r>
    </w:p>
    <w:p>
      <w:pPr>
        <w:pStyle w:val="Normal"/>
        <w:tabs>
          <w:tab w:val="left" w:pos="720" w:leader="none"/>
        </w:tabs>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Congress is considering legislation to modify federal laws affecting the electric industry.  Bills have been introduced in the Senate and the House of Representatives that would, among other things, provide retail electric customers with the right to choose their power suppliers.  Modifications to PURPA and PUHCA have also been proposed.  In addition, various states have either enacted or are considering legislation designed to deregulate the production and sale of electricity.  Deregulation is expected to result in a shift from cost-based rates to market-based rates for electric energy and related services.  Although the legislation and regulatory initiatives vary, common themes include the availability of market pricing, retail customer choice, recovery of stranded costs, and separation of generation assets from transmission, distribution and other assets.  It is unclear whether or when all power customers will obtain open access to power supplies.  Decisions by regulatory agencies may have a significant impact on the future economics of the power marketing business.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tab/>
        <w:tab/>
        <w:t>The Oregon Public Utility Commission (“OPUC”), a three-member commission appointed by the Governor of Oregon, approves PGE’s retail rates and establishes conditions of utility service.  The OPUC ensures that prices are fair and equitable and provides PGE an opportunity to earn a fair return on its investment.  In addition, the OPUC regulates the issuance of securities and prescribes the system of accounts to be kept by Oregon utilities.  PGE is also subject to the jurisdiction of the FERC with regard to the transmission and sale of wholesale electric energy, licensing of hydroelectric projects and certain other matters.  Construction of new generating facilities requires a permit from Oregon Energy Facility Siting Counsel.</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b/>
          <w:spacing w:val="-2"/>
        </w:rPr>
        <w:t>Environmental Regulations</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 xml:space="preserve">Enron and its subsidiaries are subject to extensive federal, state and local laws and regulations covering the discharge of materials into the environment, or otherwise relating to the protection of the environment, and which require expenditures for remediation at various operating facilities and waste disposal sites, as well as expenditures in connection with the construction of new facilities.  Enron believes that its operations and facilities are in general compliance with applicable environmental regulations.  Environmental laws and regulations have changed substantially and rapidly over the last 20 years, and Enron anticipates that there will be continuing changes.  The clear trend in environmental regulation is to place more restrictions and limitations on activities that may impact the environment, such as emissions of pollutants, generation and disposal of wastes and use and handling of chemical substances.  Increasingly strict environmental restrictions and limitations have resulted in increased operating costs for Enron and other businesses throughout the United States, and it is possible that the costs of compliance with environmental laws and regulations will continue to increase.  Enron will attempt to anticipate future regulatory requirements that might be imposed and to plan accordingly in order to remain in compliance with changing environmental laws and regulations and to minimize the costs of such compliance.  </w:t>
      </w:r>
    </w:p>
    <w:p>
      <w:pPr>
        <w:pStyle w:val="Normal"/>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rPr>
          <w:rFonts w:ascii="Courier New" w:hAnsi="Courier New" w:cs="Courier New"/>
          <w:spacing w:val="-2"/>
        </w:rPr>
      </w:pPr>
      <w:r>
        <w:rPr>
          <w:rFonts w:cs="Courier New" w:ascii="Courier New" w:hAnsi="Courier New"/>
          <w:spacing w:val="-2"/>
        </w:rPr>
      </w:r>
    </w:p>
    <w:p>
      <w:pPr>
        <w:pStyle w:val="Normal"/>
        <w:tabs>
          <w:tab w:val="left" w:pos="720" w:leader="none"/>
        </w:tabs>
        <w:jc w:val="both"/>
        <w:rPr>
          <w:rFonts w:ascii="Courier New" w:hAnsi="Courier New" w:cs="Courier New"/>
          <w:spacing w:val="-2"/>
        </w:rPr>
      </w:pPr>
      <w:r>
        <w:rPr>
          <w:rFonts w:cs="Courier New" w:ascii="Courier New" w:hAnsi="Courier New"/>
          <w:spacing w:val="-2"/>
        </w:rPr>
        <w:tab/>
        <w:t>The Comprehensive Environmental Response, Compensation and Liability Act ("CERCLA"), also known as the "Superfund" law, requires payments for cleanup of certain abandoned waste disposal sites, even though such waste disposal activities were undertaken in compliance with regulations applicable at the time of disposal.  Under the Superfund legislation, one party may, under certain circumstances, be required to bear more than its proportional share of cleanup costs at a site where it has responsibility pursuant to the legislation, if payments cannot be obtained from other responsible parties.  Other legislation mandates cleanup of certain wastes at facilities that are currently being operated.  States also have regulatory programs that can mandate waste cleanup.  CERCLA authorizes the Environmental Protection Agency ("EPA") and, in some cases, third parties to take actions in response to threats to the public health or the environment and to seek to recover from the responsible classes of persons the costs they incur.  The scope of financial liability under these laws involves inherent uncertainties.  Enron has entered into consent decrees with the EPA with respect to the cleanup of two Superfund sites.  Enron has received requests for information from the EPA and state agencies concerning what wastes Enron may have sent to certain sites, and it has also received requests for contribution from other parties with respect to the cleanup of other sites.  However, management does not believe that any costs incurred in connection with these sites (either individually or in the aggregate) will have a material impact on Enron's financial position or results of operations.  (See Item 3, "Legal Proceedings").</w:t>
      </w:r>
    </w:p>
    <w:p>
      <w:pPr>
        <w:pStyle w:val="Normal"/>
        <w:rPr>
          <w:rFonts w:ascii="Courier New" w:hAnsi="Courier New" w:cs="Courier New"/>
          <w:spacing w:val="-2"/>
        </w:rPr>
      </w:pPr>
      <w:r>
        <w:rPr>
          <w:rFonts w:cs="Courier New" w:ascii="Courier New" w:hAnsi="Courier New"/>
          <w:spacing w:val="-2"/>
        </w:rPr>
      </w:r>
    </w:p>
    <w:p>
      <w:pPr>
        <w:pStyle w:val="BodyText"/>
        <w:tabs>
          <w:tab w:val="clear" w:pos="0"/>
          <w:tab w:val="clear" w:pos="180"/>
          <w:tab w:val="clear" w:pos="720"/>
          <w:tab w:val="clear" w:pos="1440"/>
          <w:tab w:val="clear" w:pos="2160"/>
          <w:tab w:val="clear" w:pos="5490"/>
          <w:tab w:val="clear" w:pos="7470"/>
          <w:tab w:val="clear" w:pos="9450"/>
          <w:tab w:val="left" w:pos="-1440" w:leader="none"/>
          <w:tab w:val="left" w:pos="-720" w:leader="none"/>
          <w:tab w:val="right" w:pos="-540" w:leader="none"/>
        </w:tabs>
        <w:suppressAutoHyphens w:val="false"/>
        <w:rPr>
          <w:spacing w:val="0"/>
        </w:rPr>
      </w:pPr>
      <w:r>
        <w:rPr>
          <w:spacing w:val="0"/>
        </w:rPr>
        <w:tab/>
        <w:t>PGE’s current and historical operations are subject to a wide range of environmental protection laws covering air and water quality, noise, waste disposal, and other environmental issues.  PGE is also subject to the Federal Rivers and Harbors Act of 1899 and similar Oregon laws under which it must obtain permits from the U.S. Army Corps of Engineers or the Oregon Division of State Lands to construct facilities or perform activities in navigable waters of the State.  State agencies or departments which have direct jurisdiction over environmental matters include the Environmental Quality Commission, the Oregon Department of Environmental Quality, the Oregon Office of Energy and Oregon Energy Facility Siting Counsel.  Environmental matters regulated by these agencies include the siting and operation of generating facilities and the accumulation, cleanup and disposal of toxic and hazardous wastes.</w:t>
      </w:r>
    </w:p>
    <w:p>
      <w:pPr>
        <w:pStyle w:val="Normal"/>
        <w:rPr>
          <w:rFonts w:ascii="Courier New" w:hAnsi="Courier New" w:cs="Courier New"/>
          <w:spacing w:val="0"/>
        </w:rPr>
      </w:pPr>
      <w:r>
        <w:rPr>
          <w:rFonts w:cs="Courier New" w:ascii="Courier New" w:hAnsi="Courier New"/>
          <w:spacing w:val="0"/>
        </w:rPr>
      </w:r>
    </w:p>
    <w:p>
      <w:pPr>
        <w:pStyle w:val="Normal"/>
        <w:rPr>
          <w:rFonts w:ascii="Courier New" w:hAnsi="Courier New" w:cs="Courier New"/>
        </w:rPr>
      </w:pPr>
      <w:r>
        <w:rPr>
          <w:rFonts w:cs="Courier New" w:ascii="Courier New" w:hAnsi="Courier New"/>
          <w:b/>
        </w:rPr>
        <w:t>Water Industry Regulation</w:t>
      </w:r>
    </w:p>
    <w:p>
      <w:pPr>
        <w:pStyle w:val="Normal"/>
        <w:jc w:val="both"/>
        <w:rPr>
          <w:rFonts w:ascii="Courier New" w:hAnsi="Courier New" w:cs="Courier New"/>
        </w:rPr>
      </w:pPr>
      <w:r>
        <w:rPr>
          <w:rFonts w:cs="Courier New" w:ascii="Courier New" w:hAnsi="Courier New"/>
        </w:rPr>
      </w:r>
    </w:p>
    <w:p>
      <w:pPr>
        <w:pStyle w:val="BodyText"/>
        <w:tabs>
          <w:tab w:val="clear" w:pos="0"/>
          <w:tab w:val="clear" w:pos="180"/>
          <w:tab w:val="clear" w:pos="720"/>
          <w:tab w:val="clear" w:pos="1440"/>
          <w:tab w:val="clear" w:pos="2160"/>
          <w:tab w:val="clear" w:pos="5490"/>
          <w:tab w:val="clear" w:pos="7470"/>
          <w:tab w:val="clear" w:pos="9450"/>
          <w:tab w:val="left" w:pos="-1440" w:leader="none"/>
          <w:tab w:val="left" w:pos="-720" w:leader="none"/>
          <w:tab w:val="right" w:pos="-540" w:leader="none"/>
        </w:tabs>
        <w:suppressAutoHyphens w:val="false"/>
        <w:rPr>
          <w:spacing w:val="0"/>
        </w:rPr>
      </w:pPr>
      <w:r>
        <w:rPr>
          <w:spacing w:val="0"/>
        </w:rPr>
        <w:tab/>
        <w:t>In the United States, the rates for water and wastewater services are generally subject to state and local laws and regulation.  The Safe Drinking Water Act directs the EPA to set drinking water standards for the community water supply systems in the United States.  The Federal Water Pollution Control Act (the “Clean Water Act”) establishes a system of standards, permits and enforcement procedures for the discharge of pollutants from industrial and municipal wastewater sources.  The law requires permits for discharges from water treatment facilities and sets treatment standards for industries and wastewater treatment plants.  Discharge permits issued under the Clean Water Act are subject to renewal once every five years.  The economic aspects of the water industry in England and Wales is principally regulated under the provisions of the Water Act 1989, the Water Industry Act 1991 (which consolidated the Water Act 1989) and the Water Resources Act 1991.  In general, most countries where Azurix has invested, or intends to consider investments, have drinking water quality and environmental laws and regulations.  Azurix intends to invest in companies or projects that operate in material compliance with drinking water quality and environmental laws and regulations.  However, Azurix cannot guarantee that due diligence performed by it in advance of investing in an entity will identify any or all non-compliance with environmental laws and regulations by such entities.</w:t>
      </w:r>
    </w:p>
    <w:p>
      <w:pPr>
        <w:pStyle w:val="Normal"/>
        <w:rPr>
          <w:rFonts w:ascii="Courier New" w:hAnsi="Courier New" w:cs="Courier New"/>
          <w:spacing w:val="0"/>
        </w:rPr>
      </w:pPr>
      <w:r>
        <w:rPr>
          <w:rFonts w:cs="Courier New" w:ascii="Courier New" w:hAnsi="Courier New"/>
          <w:spacing w:val="0"/>
        </w:rPr>
      </w:r>
    </w:p>
    <w:p>
      <w:pPr>
        <w:pStyle w:val="Normal"/>
        <w:keepLines/>
        <w:rPr>
          <w:rFonts w:ascii="Courier New" w:hAnsi="Courier New" w:cs="Courier New"/>
        </w:rPr>
      </w:pPr>
      <w:r>
        <w:rPr>
          <w:rFonts w:cs="Courier New" w:ascii="Courier New" w:hAnsi="Courier New"/>
          <w:b/>
        </w:rPr>
        <w:t>Other</w:t>
      </w:r>
    </w:p>
    <w:p>
      <w:pPr>
        <w:pStyle w:val="Normal"/>
        <w:keepLines/>
        <w:rPr>
          <w:rFonts w:ascii="Courier New" w:hAnsi="Courier New" w:cs="Courier New"/>
        </w:rPr>
      </w:pPr>
      <w:r>
        <w:rPr>
          <w:rFonts w:cs="Courier New" w:ascii="Courier New" w:hAnsi="Courier New"/>
        </w:rPr>
      </w:r>
    </w:p>
    <w:p>
      <w:pPr>
        <w:pStyle w:val="BodyText"/>
        <w:keepLines/>
        <w:tabs>
          <w:tab w:val="clear" w:pos="0"/>
          <w:tab w:val="clear" w:pos="180"/>
          <w:tab w:val="clear" w:pos="720"/>
          <w:tab w:val="clear" w:pos="1440"/>
          <w:tab w:val="clear" w:pos="2160"/>
          <w:tab w:val="clear" w:pos="5490"/>
          <w:tab w:val="clear" w:pos="7470"/>
          <w:tab w:val="clear" w:pos="9450"/>
          <w:tab w:val="left" w:pos="-1440" w:leader="none"/>
          <w:tab w:val="left" w:pos="-720" w:leader="none"/>
          <w:tab w:val="right" w:pos="-540" w:leader="none"/>
        </w:tabs>
        <w:suppressAutoHyphens w:val="false"/>
        <w:rPr>
          <w:spacing w:val="0"/>
        </w:rPr>
      </w:pPr>
      <w:r>
        <w:rPr>
          <w:spacing w:val="0"/>
        </w:rPr>
        <w:tab/>
        <w:t>PGE is a 67.5% owner of the Trojan Nuclear Plant (“Trojan”).  The Nuclear Regulatory Commission (“NRC”) regulates the licensing and decommissioning of nuclear power plants.  In 1993 the NRC issued a possession-only license amendment to PGE’s Trojan operating license and in early 1996 approved the Trojan Decommissioning Plan.  Approval of the Trojan Decommissioning Plan by the NRC and Oregon Energy Facility Siting Counsel has allowed PGE to commence decommissioning activities, which are proceeding satisfactorily and within approved cost estimates.  PGE received regulatory approval in 1998 to ship and dispose of the Trojan reactor vessel as a single package, called the Reactor Vessel and Internals Removal Project.  In 1998, PGE applied for approval of the Independent Spent Fuel Storage Installation Project, and expects full approval in 1999.  Equipment removal and disposal activities will also continue in 1999.  Trojan will be subject to NRC regulation until Trojan is fully decommissioned, all nuclear fuel is removed from the site and the license is terminated.  The Oregon Department of Energy also monitors Trojan.</w:t>
      </w:r>
    </w:p>
    <w:sectPr>
      <w:footerReference w:type="default" r:id="rId3"/>
      <w:footerReference w:type="first" r:id="rId4"/>
      <w:type w:val="nextPage"/>
      <w:pgSz w:w="12240" w:h="15840"/>
      <w:pgMar w:left="1440" w:right="1440" w:gutter="0" w:header="0" w:top="1296" w:footer="216"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152400</wp:posOffset>
              </wp:positionV>
              <wp:extent cx="5943600" cy="107950"/>
              <wp:effectExtent l="0" t="0" r="0" b="0"/>
              <wp:wrapNone/>
              <wp:docPr id="1" name="Frame1"/>
              <a:graphic xmlns:a="http://schemas.openxmlformats.org/drawingml/2006/main">
                <a:graphicData uri="http://schemas.microsoft.com/office/word/2010/wordprocessingShape">
                  <wps:wsp>
                    <wps:cNvSpPr txBox="1"/>
                    <wps:spPr>
                      <a:xfrm>
                        <a:off x="0" y="0"/>
                        <a:ext cx="5943600" cy="10795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468pt;height:8.5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rPr/>
                    </w:pPr>
                    <w:r>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2827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outlineLvl w:val="0"/>
    </w:pPr>
    <w:rPr>
      <w:rFonts w:ascii="Courier New" w:hAnsi="Courier New" w:cs="Courier New"/>
      <w:b/>
      <w:spacing w:val="-2"/>
    </w:rPr>
  </w:style>
  <w:style w:type="paragraph" w:styleId="Heading2">
    <w:name w:val="heading 2"/>
    <w:basedOn w:val="Normal"/>
    <w:next w:val="Normal"/>
    <w:qFormat/>
    <w:pPr>
      <w:keepNext w:val="true"/>
      <w:numPr>
        <w:ilvl w:val="1"/>
        <w:numId w:val="1"/>
      </w:numPr>
      <w:tabs>
        <w:tab w:val="left" w:pos="360" w:leader="none"/>
        <w:tab w:val="left" w:pos="720" w:leader="none"/>
        <w:tab w:val="decimal" w:pos="6120" w:leader="none"/>
        <w:tab w:val="decimal" w:pos="7560" w:leader="none"/>
        <w:tab w:val="decimal" w:pos="9000" w:leader="none"/>
      </w:tabs>
      <w:outlineLvl w:val="1"/>
    </w:pPr>
    <w:rPr>
      <w:rFonts w:ascii="Courier New" w:hAnsi="Courier New" w:cs="Courier New"/>
      <w:u w:val="single"/>
    </w:rPr>
  </w:style>
  <w:style w:type="paragraph" w:styleId="Heading3">
    <w:name w:val="heading 3"/>
    <w:basedOn w:val="Normal"/>
    <w:next w:val="Normal"/>
    <w:qFormat/>
    <w:pPr>
      <w:keepNext w:val="true"/>
      <w:numPr>
        <w:ilvl w:val="2"/>
        <w:numId w:val="1"/>
      </w:numPr>
      <w:tabs>
        <w:tab w:val="left" w:pos="-1440" w:leader="none"/>
        <w:tab w:val="left" w:pos="-720" w:leader="none"/>
        <w:tab w:val="left" w:pos="0" w:leader="none"/>
        <w:tab w:val="left" w:pos="720" w:leader="none"/>
        <w:tab w:val="left" w:pos="1440" w:leader="none"/>
        <w:tab w:val="left" w:pos="2160" w:leader="none"/>
        <w:tab w:val="right" w:pos="5760" w:leader="none"/>
        <w:tab w:val="right" w:pos="6600" w:leader="none"/>
        <w:tab w:val="right" w:pos="7200" w:leader="none"/>
        <w:tab w:val="right" w:pos="9840" w:leader="none"/>
      </w:tabs>
      <w:suppressAutoHyphens w:val="true"/>
      <w:jc w:val="both"/>
      <w:outlineLvl w:val="2"/>
    </w:pPr>
    <w:rPr>
      <w:rFonts w:ascii="Courier New" w:hAnsi="Courier New" w:cs="Courier New"/>
      <w:b/>
      <w:spacing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right" w:pos="-540" w:leader="none"/>
        <w:tab w:val="left" w:pos="0" w:leader="none"/>
        <w:tab w:val="left" w:pos="180" w:leader="none"/>
        <w:tab w:val="left" w:pos="720" w:leader="none"/>
        <w:tab w:val="left" w:pos="1440" w:leader="none"/>
        <w:tab w:val="left" w:pos="2160" w:leader="none"/>
        <w:tab w:val="right" w:pos="5490" w:leader="none"/>
        <w:tab w:val="right" w:pos="7470" w:leader="none"/>
        <w:tab w:val="right" w:pos="9450" w:leader="none"/>
      </w:tabs>
      <w:suppressAutoHyphens w:val="true"/>
      <w:jc w:val="both"/>
    </w:pPr>
    <w:rPr>
      <w:rFonts w:ascii="Courier New" w:hAnsi="Courier New" w:cs="Courier New"/>
      <w:spacing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ECFORM10QText">
    <w:name w:val="SEC FORM10QText"/>
    <w:basedOn w:val="Normal"/>
    <w:qFormat/>
    <w:pPr>
      <w:spacing w:before="0" w:after="120"/>
      <w:ind w:firstLine="360" w:start="0" w:end="0"/>
      <w:jc w:val="both"/>
    </w:pPr>
    <w:rPr>
      <w:rFonts w:ascii="CG Times (W1);Times New Roman" w:hAnsi="CG Times (W1);Times New Roman" w:cs="CG Times (W1);Times New Roman"/>
      <w:lang w:val="en-CA" w:eastAsia="en-CA"/>
    </w:rPr>
  </w:style>
  <w:style w:type="paragraph" w:styleId="SECPgHeadings">
    <w:name w:val="SEC Pg Headings"/>
    <w:basedOn w:val="Normal"/>
    <w:qFormat/>
    <w:pPr>
      <w:jc w:val="center"/>
    </w:pPr>
    <w:rPr>
      <w:b/>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3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2000-02-28T13:51:00Z</dcterms:created>
  <dc:creator>Enron</dc:creator>
  <dc:description/>
  <dc:language>en-CA</dc:language>
  <cp:lastModifiedBy>smorgan</cp:lastModifiedBy>
  <cp:lastPrinted>2000-03-03T09:51:00Z</cp:lastPrinted>
  <dcterms:modified xsi:type="dcterms:W3CDTF">2000-03-03T13:21:00Z</dcterms:modified>
  <cp:revision>12</cp:revision>
  <dc:subject/>
  <dc:title>	SECURITIES AND EXCHANGE COMMISSION</dc:title>
</cp:coreProperties>
</file>