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t>PROPOSAL</w:t>
      </w:r>
    </w:p>
    <w:p>
      <w:pPr>
        <w:pStyle w:val="Normal"/>
        <w:jc w:val="center"/>
        <w:rPr>
          <w:b/>
        </w:rPr>
      </w:pPr>
      <w:r>
        <w:rPr>
          <w:b/>
        </w:rPr>
        <w:t>TO</w:t>
      </w:r>
    </w:p>
    <w:p>
      <w:pPr>
        <w:pStyle w:val="Heading5"/>
        <w:ind w:hanging="0" w:start="0"/>
        <w:rPr/>
      </w:pPr>
      <w:r>
        <w:rPr/>
        <w:t>DYNEGY MARKETING &amp; TRADE</w:t>
      </w:r>
    </w:p>
    <w:p>
      <w:pPr>
        <w:pStyle w:val="Normal"/>
        <w:jc w:val="center"/>
        <w:rPr>
          <w:b/>
        </w:rPr>
      </w:pPr>
      <w:r>
        <w:rPr>
          <w:b/>
        </w:rPr>
        <w:t>BY</w:t>
      </w:r>
    </w:p>
    <w:p>
      <w:pPr>
        <w:pStyle w:val="Normal"/>
        <w:jc w:val="center"/>
        <w:rPr>
          <w:b/>
        </w:rPr>
      </w:pPr>
      <w:r>
        <w:rPr>
          <w:b/>
        </w:rPr>
        <w:t>ENRON NORTH AMERICA CORP.</w:t>
      </w:r>
    </w:p>
    <w:p>
      <w:pPr>
        <w:pStyle w:val="Heading1"/>
        <w:widowControl/>
        <w:tabs>
          <w:tab w:val="clear" w:pos="720"/>
          <w:tab w:val="left" w:pos="360" w:leader="none"/>
        </w:tabs>
        <w:ind w:hanging="0" w:start="0"/>
        <w:rPr>
          <w:b w:val="false"/>
          <w:caps w:val="false"/>
          <w:smallCaps w:val="false"/>
          <w:sz w:val="24"/>
        </w:rPr>
      </w:pPr>
      <w:r>
        <w:rPr>
          <w:b w:val="false"/>
          <w:caps w:val="false"/>
          <w:smallCaps w:val="false"/>
          <w:sz w:val="24"/>
        </w:rPr>
        <w:t>May 2, 2000</w:t>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spacing w:lineRule="auto" w:line="360"/>
        <w:jc w:val="both"/>
        <w:rPr/>
      </w:pPr>
      <w:r>
        <w:rPr>
          <w:b/>
          <w:sz w:val="22"/>
        </w:rPr>
        <w:t>Seller:</w:t>
      </w:r>
      <w:r>
        <w:rPr>
          <w:sz w:val="22"/>
        </w:rPr>
        <w:tab/>
        <w:tab/>
        <w:t>Enron North America Corp (“ENA”)</w:t>
      </w:r>
    </w:p>
    <w:p>
      <w:pPr>
        <w:pStyle w:val="Normal"/>
        <w:widowControl/>
        <w:tabs>
          <w:tab w:val="clear" w:pos="720"/>
          <w:tab w:val="left" w:pos="360" w:leader="none"/>
        </w:tabs>
        <w:spacing w:lineRule="auto" w:line="360"/>
        <w:jc w:val="both"/>
        <w:rPr/>
      </w:pPr>
      <w:r>
        <w:rPr>
          <w:b/>
          <w:sz w:val="22"/>
        </w:rPr>
        <w:t>Buyer:</w:t>
        <w:tab/>
        <w:tab/>
      </w:r>
      <w:r>
        <w:rPr>
          <w:sz w:val="22"/>
        </w:rPr>
        <w:t>Dynegy Marketing and Trade (“DMT”)</w:t>
      </w:r>
    </w:p>
    <w:p>
      <w:pPr>
        <w:pStyle w:val="Normal"/>
        <w:rPr>
          <w:sz w:val="22"/>
        </w:rPr>
      </w:pPr>
      <w:r>
        <w:rPr>
          <w:sz w:val="22"/>
        </w:rPr>
      </w:r>
    </w:p>
    <w:p>
      <w:pPr>
        <w:pStyle w:val="Normal"/>
        <w:rPr>
          <w:sz w:val="22"/>
        </w:rPr>
      </w:pPr>
      <w:r>
        <w:rPr>
          <w:sz w:val="22"/>
        </w:rPr>
      </w:r>
    </w:p>
    <w:p>
      <w:pPr>
        <w:pStyle w:val="BodyTextIndent2"/>
        <w:rPr/>
      </w:pPr>
      <w:r>
        <w:rPr/>
        <w:t>The following is a summary of the proposed terms of a tolling conversion rights sale by Enron North America Corp. (“ENA” or “Seller”) to Dynegy Marketing and Trade (“DMT” or “Buyer”):</w:t>
      </w:r>
    </w:p>
    <w:p>
      <w:pPr>
        <w:pStyle w:val="Normal"/>
        <w:jc w:val="both"/>
        <w:rPr/>
      </w:pPr>
      <w:r>
        <w:rPr/>
      </w:r>
    </w:p>
    <w:p>
      <w:pPr>
        <w:pStyle w:val="Normal"/>
        <w:jc w:val="both"/>
        <w:rPr/>
      </w:pPr>
      <w:r>
        <w:rPr/>
      </w:r>
    </w:p>
    <w:p>
      <w:pPr>
        <w:pStyle w:val="Normal"/>
        <w:ind w:hanging="2880" w:start="2880" w:end="0"/>
        <w:jc w:val="both"/>
        <w:rPr/>
      </w:pPr>
      <w:r>
        <w:rPr>
          <w:b/>
        </w:rPr>
        <w:t>Product:</w:t>
      </w:r>
      <w:r>
        <w:rPr/>
        <w:tab/>
        <w:t>Tolling capacity with energy delivery to Buyer within TVA’s service territory.</w:t>
      </w:r>
    </w:p>
    <w:p>
      <w:pPr>
        <w:pStyle w:val="Normal"/>
        <w:jc w:val="both"/>
        <w:rPr/>
      </w:pPr>
      <w:r>
        <w:rPr/>
      </w:r>
    </w:p>
    <w:p>
      <w:pPr>
        <w:pStyle w:val="Normal"/>
        <w:ind w:hanging="2880" w:start="2880" w:end="0"/>
        <w:jc w:val="both"/>
        <w:rPr/>
      </w:pPr>
      <w:r>
        <w:rPr>
          <w:b/>
        </w:rPr>
        <w:t>Volume:</w:t>
      </w:r>
      <w:r>
        <w:rPr/>
        <w:tab/>
        <w:t>500 MW/h</w:t>
      </w:r>
    </w:p>
    <w:p>
      <w:pPr>
        <w:pStyle w:val="Normal"/>
        <w:ind w:hanging="2880" w:start="2880" w:end="0"/>
        <w:jc w:val="both"/>
        <w:rPr/>
      </w:pPr>
      <w:r>
        <w:rPr/>
      </w:r>
    </w:p>
    <w:p>
      <w:pPr>
        <w:pStyle w:val="BodyTextIndent"/>
        <w:ind w:hanging="2880" w:start="2880" w:end="0"/>
        <w:jc w:val="both"/>
        <w:rPr/>
      </w:pPr>
      <w:r>
        <w:rPr>
          <w:b/>
        </w:rPr>
        <w:t>Term:</w:t>
      </w:r>
      <w:r>
        <w:rPr/>
        <w:tab/>
        <w:t>Ten year term beginning June 1, 2001</w:t>
      </w:r>
    </w:p>
    <w:p>
      <w:pPr>
        <w:pStyle w:val="BodyTextIndent"/>
        <w:ind w:hanging="2880" w:start="2880" w:end="0"/>
        <w:jc w:val="both"/>
        <w:rPr/>
      </w:pPr>
      <w:r>
        <w:rPr/>
      </w:r>
    </w:p>
    <w:p>
      <w:pPr>
        <w:pStyle w:val="Normal"/>
        <w:ind w:hanging="2880" w:start="2880" w:end="0"/>
        <w:jc w:val="both"/>
        <w:rPr/>
      </w:pPr>
      <w:r>
        <w:rPr>
          <w:b/>
        </w:rPr>
        <w:t>Capacity Pmt :</w:t>
      </w:r>
      <w:r>
        <w:rPr/>
        <w:tab/>
        <w:t>DMT shall make capacity payments to ENA for the term of the agreement payable on the Maximum Capacity at the rate of $6.40 per kW/month.</w:t>
      </w:r>
    </w:p>
    <w:p>
      <w:pPr>
        <w:pStyle w:val="Normal"/>
        <w:ind w:start="2880" w:end="0"/>
        <w:jc w:val="both"/>
        <w:rPr/>
      </w:pPr>
      <w:r>
        <w:rPr/>
      </w:r>
    </w:p>
    <w:p>
      <w:pPr>
        <w:pStyle w:val="Normal"/>
        <w:tabs>
          <w:tab w:val="clear" w:pos="720"/>
          <w:tab w:val="left" w:pos="90" w:leader="none"/>
        </w:tabs>
        <w:ind w:hanging="2880" w:start="2880" w:end="0"/>
        <w:jc w:val="both"/>
        <w:rPr/>
      </w:pPr>
      <w:r>
        <w:rPr>
          <w:b/>
        </w:rPr>
        <w:t>Maximum Capacity:</w:t>
        <w:tab/>
      </w:r>
      <w:r>
        <w:rPr/>
        <w:t>The maximum tolling capacity (“Maximum Capacity”) under this Agreement shall be 500 MW/h, and shall be constant throughout the year, regardless of ambient temperature.</w:t>
      </w:r>
    </w:p>
    <w:p>
      <w:pPr>
        <w:pStyle w:val="Normal"/>
        <w:ind w:hanging="2880" w:start="2880" w:end="0"/>
        <w:jc w:val="both"/>
        <w:rPr/>
      </w:pPr>
      <w:r>
        <w:rPr/>
      </w:r>
    </w:p>
    <w:p>
      <w:pPr>
        <w:pStyle w:val="Normal"/>
        <w:ind w:hanging="2880" w:start="2880" w:end="0"/>
        <w:jc w:val="both"/>
        <w:rPr/>
      </w:pPr>
      <w:r>
        <w:rPr>
          <w:b/>
        </w:rPr>
        <w:t>Gas Delivery:</w:t>
      </w:r>
      <w:r>
        <w:rPr/>
        <w:tab/>
        <w:t>DMT shall deliver gas to meet its scheduled tolling requirements to ENA at the point of interconnect between ANR Pipeline and ENA’s Gleason Plant, in Gleason, TN.</w:t>
      </w:r>
    </w:p>
    <w:p>
      <w:pPr>
        <w:pStyle w:val="Normal"/>
        <w:ind w:start="2880" w:end="0"/>
        <w:jc w:val="both"/>
        <w:rPr/>
      </w:pPr>
      <w:r>
        <w:rPr/>
      </w:r>
    </w:p>
    <w:p>
      <w:pPr>
        <w:pStyle w:val="Normal"/>
        <w:tabs>
          <w:tab w:val="clear" w:pos="720"/>
          <w:tab w:val="left" w:pos="90" w:leader="none"/>
        </w:tabs>
        <w:ind w:hanging="2880" w:start="2880" w:end="0"/>
        <w:jc w:val="both"/>
        <w:rPr/>
      </w:pPr>
      <w:r>
        <w:rPr>
          <w:b/>
        </w:rPr>
        <w:t>Energy Nominations:</w:t>
      </w:r>
      <w:r>
        <w:rPr/>
        <w:tab/>
        <w:t>DMT shall have the right to request energy under this Agreement in 50 MW increments, up to the Maximum Capacity on a day-ahead basis, by giving notice to ENA prior to 8:45 AM CPT the day prior to energy delivery.  Each dispatch notification shall be for a minimum 16 hour period unless upon mutual agreement of the parties.</w:t>
      </w:r>
    </w:p>
    <w:p>
      <w:pPr>
        <w:pStyle w:val="Normal"/>
        <w:tabs>
          <w:tab w:val="clear" w:pos="720"/>
          <w:tab w:val="left" w:pos="90" w:leader="none"/>
        </w:tabs>
        <w:ind w:hanging="2880" w:start="2880" w:end="0"/>
        <w:jc w:val="both"/>
        <w:rPr>
          <w:b/>
        </w:rPr>
      </w:pPr>
      <w:r>
        <w:rPr>
          <w:b/>
        </w:rPr>
      </w:r>
    </w:p>
    <w:p>
      <w:pPr>
        <w:pStyle w:val="Normal"/>
        <w:tabs>
          <w:tab w:val="clear" w:pos="720"/>
          <w:tab w:val="left" w:pos="90" w:leader="none"/>
        </w:tabs>
        <w:ind w:start="2880" w:end="0"/>
        <w:jc w:val="both"/>
        <w:rPr/>
      </w:pPr>
      <w:r>
        <w:rPr/>
        <w:t>ENA shall have no obligation to provide gas for conversion to energy hereunder, but must accept all gas delivered by DMT, and in turn provide the resulting energy and products unless otherwise excused under the agreement. Upon energy nomination by DMT, ENA’s obligation to deliver, and DMT’s obligation to accept the energy shall be on a firm basis, unless otherwise excused due to events of force majeure, excluding force majeure events affecting only the Gleason facility.  In the event of non-performance, liquidated damages shall be paid to the affected party.</w:t>
      </w:r>
    </w:p>
    <w:p>
      <w:pPr>
        <w:pStyle w:val="Normal"/>
        <w:tabs>
          <w:tab w:val="clear" w:pos="720"/>
          <w:tab w:val="left" w:pos="90" w:leader="none"/>
        </w:tabs>
        <w:ind w:hanging="3060" w:start="2880" w:end="0"/>
        <w:jc w:val="both"/>
        <w:rPr>
          <w:b/>
        </w:rPr>
      </w:pPr>
      <w:r>
        <w:rPr>
          <w:b/>
        </w:rPr>
      </w:r>
    </w:p>
    <w:p>
      <w:pPr>
        <w:pStyle w:val="Normal"/>
        <w:tabs>
          <w:tab w:val="clear" w:pos="720"/>
          <w:tab w:val="left" w:pos="90" w:leader="none"/>
        </w:tabs>
        <w:ind w:hanging="2880" w:start="2880" w:end="0"/>
        <w:jc w:val="both"/>
        <w:rPr/>
      </w:pPr>
      <w:r>
        <w:rPr>
          <w:b/>
        </w:rPr>
        <w:t>Heat Rate</w:t>
      </w:r>
      <w:r>
        <w:rPr/>
        <w:t>:</w:t>
        <w:tab/>
        <w:t>The conversion factor for gas delivered by Buyer in return for Seller’s delivery of energy shall be at a heat rate of 7,300 Btu/kW.</w:t>
      </w:r>
    </w:p>
    <w:p>
      <w:pPr>
        <w:pStyle w:val="Normal"/>
        <w:tabs>
          <w:tab w:val="clear" w:pos="720"/>
          <w:tab w:val="left" w:pos="90" w:leader="none"/>
        </w:tabs>
        <w:ind w:hanging="2880" w:start="2880" w:end="0"/>
        <w:jc w:val="both"/>
        <w:rPr>
          <w:b/>
        </w:rPr>
      </w:pPr>
      <w:r>
        <w:rPr>
          <w:b/>
        </w:rPr>
      </w:r>
    </w:p>
    <w:p>
      <w:pPr>
        <w:pStyle w:val="Normal"/>
        <w:tabs>
          <w:tab w:val="clear" w:pos="720"/>
          <w:tab w:val="left" w:pos="90" w:leader="none"/>
        </w:tabs>
        <w:ind w:hanging="2880" w:start="2880" w:end="0"/>
        <w:jc w:val="both"/>
        <w:rPr/>
      </w:pPr>
      <w:r>
        <w:rPr>
          <w:b/>
        </w:rPr>
        <w:t>Energy Delivery Points:</w:t>
      </w:r>
      <w:r>
        <w:rPr/>
        <w:tab/>
        <w:t>Delivery point for energy scheduled by DMT hereunder shall be at the interconnect between ENA’s Gleason Plant and TVA or (if applicable) Seller’s Control Area encompassing the Gleason Plant.  In the event of a forced outage or planned outage (not allowed during the months of June - September) at the Gleason Plant, ENA shall have the option of providing energy to DMT at an alternate delivery point into the TVA system.  In the event that regulatory changes eliminate ENA’s ability to operate a control area within TVA which encompasses the Gleason facility, ENA shall provide the energy at a mutually agreeable into-TVA delivery point.</w:t>
      </w:r>
    </w:p>
    <w:p>
      <w:pPr>
        <w:pStyle w:val="Normal"/>
        <w:tabs>
          <w:tab w:val="clear" w:pos="720"/>
          <w:tab w:val="left" w:pos="90" w:leader="none"/>
        </w:tabs>
        <w:ind w:hanging="2880" w:start="2880" w:end="0"/>
        <w:jc w:val="both"/>
        <w:rPr>
          <w:b/>
        </w:rPr>
      </w:pPr>
      <w:r>
        <w:rPr>
          <w:b/>
        </w:rPr>
      </w:r>
    </w:p>
    <w:p>
      <w:pPr>
        <w:pStyle w:val="Normal"/>
        <w:tabs>
          <w:tab w:val="clear" w:pos="720"/>
          <w:tab w:val="left" w:pos="90" w:leader="none"/>
        </w:tabs>
        <w:ind w:hanging="2880" w:start="2880" w:end="0"/>
        <w:jc w:val="both"/>
        <w:rPr/>
      </w:pPr>
      <w:r>
        <w:rPr>
          <w:b/>
        </w:rPr>
        <w:t>Capacity Delivery Points:</w:t>
        <w:tab/>
      </w:r>
      <w:r>
        <w:rPr/>
        <w:t>Regulatory capacity source under this agreement shall be either from (1) the Gleason Plant, (2) the ENA control area encompassing the Gleason Plant, or (3) another generating facility within the TVA control area or outside of TVA with firm transmission capacity into TVA.  The capacity source shall be selected at ENA’s option, and shall be identified for each calendar year by September 1 of the preceding year.  Identification of a capacity source other than the Gleason Plant shall not impact the energy delivery requirements, pricing, scheduling, or other terms of this proposed agreement.</w:t>
      </w:r>
    </w:p>
    <w:p>
      <w:pPr>
        <w:pStyle w:val="Normal"/>
        <w:tabs>
          <w:tab w:val="clear" w:pos="720"/>
          <w:tab w:val="left" w:pos="90" w:leader="none"/>
        </w:tabs>
        <w:ind w:hanging="2880" w:start="2880" w:end="0"/>
        <w:jc w:val="both"/>
        <w:rPr>
          <w:b/>
        </w:rPr>
      </w:pPr>
      <w:r>
        <w:rPr>
          <w:b/>
        </w:rPr>
        <w:t xml:space="preserve"> </w:t>
      </w:r>
    </w:p>
    <w:p>
      <w:pPr>
        <w:pStyle w:val="Normal"/>
        <w:ind w:hanging="2880" w:start="2880" w:end="0"/>
        <w:jc w:val="both"/>
        <w:rPr/>
      </w:pPr>
      <w:r>
        <w:rPr>
          <w:b/>
        </w:rPr>
        <w:t>Variable Charges:</w:t>
      </w:r>
      <w:r>
        <w:rPr/>
        <w:tab/>
        <w:t>In addition to the heat rate conversion, DMT shall pay to ENA a variable payment of $2.00 per MWh for all energy scheduled by DMT and delivered by ENA.</w:t>
      </w:r>
    </w:p>
    <w:p>
      <w:pPr>
        <w:pStyle w:val="BodyTextIndent3"/>
        <w:ind w:hanging="0" w:start="0" w:end="0"/>
        <w:rPr/>
      </w:pPr>
      <w:r>
        <w:rPr/>
      </w:r>
    </w:p>
    <w:p>
      <w:pPr>
        <w:pStyle w:val="BodyTextIndent3"/>
        <w:rPr/>
      </w:pPr>
      <w:r>
        <w:rPr>
          <w:b/>
        </w:rPr>
        <w:t>Planned Outage:</w:t>
      </w:r>
      <w:r>
        <w:rPr/>
        <w:tab/>
        <w:t>Seller shall be allowed no planned maintenance outage under this Agreement.</w:t>
      </w:r>
    </w:p>
    <w:p>
      <w:pPr>
        <w:pStyle w:val="BodyTextIndent3"/>
        <w:rPr/>
      </w:pPr>
      <w:r>
        <w:rPr/>
        <w:t xml:space="preserve"> </w:t>
      </w:r>
    </w:p>
    <w:p>
      <w:pPr>
        <w:pStyle w:val="BodyTextIndent3"/>
        <w:rPr/>
      </w:pPr>
      <w:r>
        <w:rPr>
          <w:b/>
        </w:rPr>
        <w:t>Unplanned Outage:</w:t>
      </w:r>
      <w:r>
        <w:rPr/>
        <w:tab/>
        <w:t>Seller shall be allowed no forced outages under this Agreement.  Seller shall be obligated to pay Buyer liquidated damages associated with Buyer’s cost of cover for the undelivered products/services.  Events of force majeure impacting system deliveries shall excuse performance by both Parties hereunder, however events impacting ENA’s Gleason Plant or any other generating facility alone shall not be considered a force majeure event hereunder.</w:t>
      </w:r>
    </w:p>
    <w:p>
      <w:pPr>
        <w:pStyle w:val="BodyTextIndent3"/>
        <w:rPr>
          <w:b/>
        </w:rPr>
      </w:pPr>
      <w:r>
        <w:rPr>
          <w:b/>
        </w:rPr>
      </w:r>
    </w:p>
    <w:p>
      <w:pPr>
        <w:pStyle w:val="BodyTextIndent3"/>
        <w:rPr/>
      </w:pPr>
      <w:r>
        <w:rPr>
          <w:b/>
        </w:rPr>
        <w:t>Buyer Obligations:</w:t>
      </w:r>
      <w:r>
        <w:rPr/>
        <w:tab/>
        <w:t xml:space="preserve">DMT shall be obligated to pay ENA liquidated damages associated with ENA’s cost of cover for energy scheduled and not taken by DMT, or for gas scheduled by DMT but not delivered.  Cost of cover shall include (but not be limited to) any direct costs, losses or lost revenue opportunities associated with the sale of excess energy, the sale of excess gas, or the purchase of either energy, capacity or gas. </w:t>
      </w:r>
    </w:p>
    <w:p>
      <w:pPr>
        <w:pStyle w:val="BodyTextIndent3"/>
        <w:rPr/>
      </w:pPr>
      <w:r>
        <w:rPr/>
        <w:t xml:space="preserve"> </w:t>
      </w:r>
    </w:p>
    <w:p>
      <w:pPr>
        <w:pStyle w:val="Normal"/>
        <w:ind w:hanging="2880" w:start="2880" w:end="0"/>
        <w:rPr/>
      </w:pPr>
      <w:r>
        <w:rPr>
          <w:b/>
        </w:rPr>
        <w:t>Credit Requirements:</w:t>
      </w:r>
      <w:r>
        <w:rPr/>
        <w:tab/>
        <w:t>Transaction subject to ENA’s approval of acceptable credit terms prior to transaction execution.</w:t>
      </w:r>
    </w:p>
    <w:p>
      <w:pPr>
        <w:pStyle w:val="Normal"/>
        <w:ind w:hanging="2160" w:start="2160" w:end="0"/>
        <w:rPr/>
      </w:pPr>
      <w:r>
        <w:rPr/>
      </w:r>
    </w:p>
    <w:p>
      <w:pPr>
        <w:pStyle w:val="Normal"/>
        <w:ind w:hanging="2160" w:start="2160" w:end="0"/>
        <w:rPr/>
      </w:pPr>
      <w:r>
        <w:rPr>
          <w:b/>
        </w:rPr>
        <w:t>Enron Contact:</w:t>
        <w:tab/>
        <w:tab/>
      </w:r>
      <w:r>
        <w:rPr/>
        <w:t>Tom Swank</w:t>
      </w:r>
    </w:p>
    <w:p>
      <w:pPr>
        <w:pStyle w:val="Normal"/>
        <w:ind w:hanging="2160" w:start="2160" w:end="0"/>
        <w:rPr/>
      </w:pPr>
      <w:r>
        <w:rPr/>
        <w:tab/>
        <w:tab/>
        <w:t>Enron North America Corp.</w:t>
      </w:r>
    </w:p>
    <w:p>
      <w:pPr>
        <w:pStyle w:val="Normal"/>
        <w:ind w:hanging="2160" w:start="2160" w:end="0"/>
        <w:rPr/>
      </w:pPr>
      <w:r>
        <w:rPr/>
        <w:tab/>
        <w:tab/>
        <w:t>(713) 853-7194</w:t>
      </w:r>
    </w:p>
    <w:p>
      <w:pPr>
        <w:pStyle w:val="Normal"/>
        <w:ind w:hanging="2160" w:start="2160" w:end="0"/>
        <w:rPr/>
      </w:pPr>
      <w:r>
        <w:rPr/>
        <w:tab/>
        <w:tab/>
        <w:t>tswank@enron.com</w:t>
      </w:r>
    </w:p>
    <w:p>
      <w:pPr>
        <w:pStyle w:val="Normal"/>
        <w:ind w:hanging="2160" w:start="2160" w:end="0"/>
        <w:rPr/>
      </w:pPr>
      <w:r>
        <w:rPr/>
      </w:r>
    </w:p>
    <w:p>
      <w:pPr>
        <w:pStyle w:val="Normal"/>
        <w:jc w:val="center"/>
        <w:rPr>
          <w:b/>
          <w:sz w:val="22"/>
        </w:rPr>
      </w:pPr>
      <w:r>
        <w:rPr>
          <w:b/>
          <w:sz w:val="22"/>
        </w:rPr>
      </w:r>
    </w:p>
    <w:p>
      <w:pPr>
        <w:pStyle w:val="BodyText2"/>
        <w:widowControl/>
        <w:tabs>
          <w:tab w:val="clear" w:pos="360"/>
        </w:tabs>
        <w:rPr/>
      </w:pPr>
      <w:r>
        <w:rPr/>
        <w:t>All terms and conditions of this Proposal are confidential between Buyer and ENA and their duly appointed agents.</w:t>
      </w:r>
    </w:p>
    <w:p>
      <w:pPr>
        <w:pStyle w:val="BodyText"/>
        <w:widowControl/>
        <w:rPr>
          <w:i w:val="false"/>
          <w:i w:val="false"/>
          <w:sz w:val="22"/>
        </w:rPr>
      </w:pPr>
      <w:r>
        <w:rPr>
          <w:i w:val="false"/>
          <w:sz w:val="22"/>
        </w:rPr>
      </w:r>
    </w:p>
    <w:p>
      <w:pPr>
        <w:pStyle w:val="BodyText"/>
        <w:widowControl/>
        <w:rPr>
          <w:sz w:val="22"/>
        </w:rPr>
      </w:pPr>
      <w:r>
        <w:rPr>
          <w:sz w:val="22"/>
        </w:rPr>
        <w:t>The prices in this Proposal are indicative only, and subject to change until a final agreement is reached and executed by both parties.  This Proposal is for discussion purposes only to facilitate the negotiation, preparation, and execution of definitive agreements. This is not an offer or commitment of ENA or any of its affiliates to enter into any transaction. The transaction described herein is subject to further review and approval of the Boards of Directors of both the Buyer and ENA, and execution of definitive agreements containing all appropriate provisions, including those related to credit and limitation of damages and remedies.</w:t>
      </w:r>
    </w:p>
    <w:p>
      <w:pPr>
        <w:pStyle w:val="BodyText"/>
        <w:widowControl/>
        <w:rPr>
          <w:sz w:val="22"/>
        </w:rPr>
      </w:pPr>
      <w:r>
        <w:rPr>
          <w:sz w:val="22"/>
        </w:rPr>
      </w:r>
    </w:p>
    <w:p>
      <w:pPr>
        <w:pStyle w:val="BodyText"/>
        <w:widowControl/>
        <w:jc w:val="center"/>
        <w:rPr/>
      </w:pP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576" w:top="1440"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object w:dxaOrig="2025" w:dyaOrig="170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4.4pt;margin-top:734.4pt;width:43.2pt;height:36.45pt;mso-wrap-distance-left:9.05pt;mso-wrap-distance-right:9.05pt;mso-position-horizontal-relative:text;mso-position-vertical-relative:page" filled="f" o:ole="">
          <v:imagedata r:id="rId2" o:title=""/>
          <w10:wrap type="topAndBottom"/>
        </v:shape>
        <o:OLEObject Type="Embed" ProgID="" ShapeID="ole_rId1" DrawAspect="Content" ObjectID="_282684855" r:id="rId1"/>
      </w:object>
    </w:r>
    <w:r>
      <w:rPr>
        <w:rStyle w:val="PageNumber"/>
        <w:i/>
        <w:sz w:val="16"/>
      </w:rPr>
      <w:tab/>
    </w:r>
  </w:p>
  <w:p>
    <w:pPr>
      <w:pStyle w:val="Footer"/>
      <w:widowControl/>
      <w:tabs>
        <w:tab w:val="clear" w:pos="8640"/>
        <w:tab w:val="center" w:pos="4320" w:leader="none"/>
        <w:tab w:val="right" w:pos="9630" w:leader="none"/>
      </w:tabs>
      <w:ind w:end="-990"/>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object w:dxaOrig="2025" w:dyaOrig="170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0pt;margin-top:734.4pt;width:43.2pt;height:36.45pt;mso-wrap-distance-left:9.05pt;mso-wrap-distance-right:9.05pt;mso-position-horizontal-relative:text;mso-position-vertical-relative:page" filled="f" o:ole="">
          <v:imagedata r:id="rId2" o:title=""/>
          <w10:wrap type="topAndBottom"/>
        </v:shape>
        <o:OLEObject Type="Embed" ProgID="" ShapeID="ole_rId1" DrawAspect="Content" ObjectID="_338747806" r:id="rId1"/>
      </w:objec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0"/>
      </w:rPr>
    </w:pPr>
    <w:r>
      <w:rPr>
        <w:b/>
        <w:i/>
        <w:sz w:val="20"/>
      </w:rPr>
      <w:t>Proprietary Confidential Business Information – For Discussion Only</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0"/>
      </w:rPr>
    </w:pPr>
    <w:r>
      <w:rPr>
        <w:b/>
        <w:i/>
        <w:sz w:val="20"/>
      </w:rPr>
      <w:t>Proprietary Confidential Business Information – For Discussion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widowControl/>
      <w:numPr>
        <w:ilvl w:val="5"/>
        <w:numId w:val="1"/>
      </w:numPr>
      <w:tabs>
        <w:tab w:val="clear" w:pos="720"/>
        <w:tab w:val="left" w:pos="0" w:leader="none"/>
      </w:tabs>
      <w:jc w:val="both"/>
      <w:outlineLvl w:val="5"/>
    </w:pPr>
    <w:rPr>
      <w:i/>
      <w:sz w:val="22"/>
    </w:rPr>
  </w:style>
  <w:style w:type="paragraph" w:styleId="Heading7">
    <w:name w:val="heading 7"/>
    <w:basedOn w:val="Normal"/>
    <w:next w:val="Normal"/>
    <w:qFormat/>
    <w:pPr>
      <w:keepNext w:val="true"/>
      <w:widowControl/>
      <w:numPr>
        <w:ilvl w:val="6"/>
        <w:numId w:val="1"/>
      </w:numPr>
      <w:tabs>
        <w:tab w:val="clear" w:pos="720"/>
        <w:tab w:val="left" w:pos="0" w:leader="none"/>
      </w:tabs>
      <w:jc w:val="both"/>
      <w:outlineLvl w:val="6"/>
    </w:pPr>
    <w:rPr>
      <w:i/>
      <w:sz w:val="22"/>
      <w:u w:val="single"/>
    </w:rPr>
  </w:style>
  <w:style w:type="paragraph" w:styleId="Heading8">
    <w:name w:val="heading 8"/>
    <w:basedOn w:val="Normal"/>
    <w:next w:val="Normal"/>
    <w:qFormat/>
    <w:pPr>
      <w:keepNext w:val="true"/>
      <w:numPr>
        <w:ilvl w:val="7"/>
        <w:numId w:val="1"/>
      </w:numPr>
      <w:jc w:val="end"/>
      <w:outlineLvl w:val="7"/>
    </w:pPr>
    <w:rPr>
      <w:rFonts w:ascii="Arial" w:hAnsi="Arial" w:cs="Arial"/>
      <w:b/>
      <w:color w:val="000000"/>
      <w:lang w:eastAsia="en-US"/>
    </w:rPr>
  </w:style>
  <w:style w:type="paragraph" w:styleId="Heading9">
    <w:name w:val="heading 9"/>
    <w:basedOn w:val="Normal"/>
    <w:next w:val="Normal"/>
    <w:qFormat/>
    <w:pPr>
      <w:keepNext w:val="true"/>
      <w:numPr>
        <w:ilvl w:val="8"/>
        <w:numId w:val="1"/>
      </w:numPr>
      <w:ind w:hanging="0" w:start="2880" w:end="0"/>
      <w:jc w:val="both"/>
      <w:outlineLvl w:val="8"/>
    </w:pPr>
    <w:rPr>
      <w:i/>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next w:val="Normal"/>
    <w:qFormat/>
    <w:pPr>
      <w:jc w:val="center"/>
    </w:pPr>
    <w:rPr>
      <w:b/>
      <w:smallCap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jc w:val="both"/>
    </w:pPr>
    <w:rPr>
      <w:sz w:val="22"/>
    </w:rPr>
  </w:style>
  <w:style w:type="paragraph" w:styleId="WW-BodyText2">
    <w:name w:val="WW-Body Text 2"/>
    <w:basedOn w:val="Normal"/>
    <w:qFormat/>
    <w:pPr>
      <w:ind w:hanging="1440" w:start="0" w:end="0"/>
      <w:jc w:val="both"/>
    </w:pPr>
    <w:rPr>
      <w:sz w:val="22"/>
    </w:rPr>
  </w:style>
  <w:style w:type="paragraph" w:styleId="BodyText3">
    <w:name w:val="Body Text 3"/>
    <w:basedOn w:val="Normal"/>
    <w:qFormat/>
    <w:pPr>
      <w:widowControl/>
    </w:pPr>
    <w:rPr>
      <w:sz w:val="22"/>
    </w:rPr>
  </w:style>
  <w:style w:type="paragraph" w:styleId="BodyTextIndent">
    <w:name w:val="Body Text Indent"/>
    <w:basedOn w:val="Normal"/>
    <w:pPr>
      <w:widowControl/>
      <w:ind w:hanging="2160" w:start="2160" w:end="0"/>
    </w:pPr>
    <w:rPr/>
  </w:style>
  <w:style w:type="paragraph" w:styleId="BodyTextIndent2">
    <w:name w:val="Body Text Indent 2"/>
    <w:basedOn w:val="Normal"/>
    <w:qFormat/>
    <w:pPr>
      <w:widowControl/>
      <w:ind w:hanging="0" w:start="-180" w:end="0"/>
      <w:jc w:val="both"/>
    </w:pPr>
    <w:rPr/>
  </w:style>
  <w:style w:type="paragraph" w:styleId="BodyTextIndent3">
    <w:name w:val="Body Text Indent 3"/>
    <w:basedOn w:val="Normal"/>
    <w:qFormat/>
    <w:pPr>
      <w:widowControl/>
      <w:ind w:hanging="2880" w:start="2880" w:end="0"/>
      <w:jc w:val="both"/>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2000-04-26T12:17:00Z</dcterms:created>
  <dc:creator>tswank</dc:creator>
  <dc:description/>
  <dc:language>en-CA</dc:language>
  <cp:lastModifiedBy>tswank</cp:lastModifiedBy>
  <cp:lastPrinted>2000-05-03T17:27:00Z</cp:lastPrinted>
  <dcterms:modified xsi:type="dcterms:W3CDTF">2000-05-03T20:30:00Z</dcterms:modified>
  <cp:revision>5</cp:revision>
  <dc:subject/>
  <dc:title>SUMMARY OF TERMS FOR PROPOSED TRANSACTION BETWEEN</dc:title>
</cp:coreProperties>
</file>