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Docket No._________________</w:t>
      </w:r>
    </w:p>
    <w:p>
      <w:pPr>
        <w:pStyle w:val="Normal"/>
        <w:jc w:val="center"/>
        <w:rPr>
          <w:b/>
          <w:bCs/>
        </w:rPr>
      </w:pPr>
      <w:r>
        <w:rPr>
          <w:b/>
          <w:bCs/>
        </w:rPr>
      </w:r>
    </w:p>
    <w:p>
      <w:pPr>
        <w:pStyle w:val="Normal"/>
        <w:rPr>
          <w:b/>
          <w:bCs/>
        </w:rPr>
      </w:pPr>
      <w:r>
        <w:rPr>
          <w:b/>
          <w:bCs/>
        </w:rPr>
      </w:r>
    </w:p>
    <w:p>
      <w:pPr>
        <w:pStyle w:val="Heading1"/>
        <w:tabs>
          <w:tab w:val="clear" w:pos="360"/>
          <w:tab w:val="left" w:pos="0" w:leader="none"/>
        </w:tabs>
        <w:ind w:hanging="0" w:start="0"/>
        <w:rPr>
          <w:kern w:val="0"/>
        </w:rPr>
      </w:pPr>
      <w:r>
        <w:rPr>
          <w:kern w:val="0"/>
        </w:rPr>
        <w:t>JOINT APPLICATION OF</w:t>
        <w:tab/>
        <w:tab/>
        <w:tab/>
        <w:tab/>
        <w:tab/>
        <w:t>BEFORE THE</w:t>
      </w:r>
    </w:p>
    <w:p>
      <w:pPr>
        <w:pStyle w:val="Heading1"/>
        <w:tabs>
          <w:tab w:val="clear" w:pos="360"/>
          <w:tab w:val="left" w:pos="0" w:leader="none"/>
        </w:tabs>
        <w:ind w:hanging="0" w:start="0"/>
        <w:rPr>
          <w:kern w:val="0"/>
        </w:rPr>
      </w:pPr>
      <w:r>
        <w:rPr>
          <w:kern w:val="0"/>
        </w:rPr>
        <w:t>DYNEGY, INC AND ENRON</w:t>
        <w:tab/>
        <w:tab/>
        <w:t xml:space="preserve">      PUBLIC UTILITY COMMISSION </w:t>
      </w:r>
    </w:p>
    <w:p>
      <w:pPr>
        <w:pStyle w:val="Heading1"/>
        <w:tabs>
          <w:tab w:val="clear" w:pos="360"/>
          <w:tab w:val="left" w:pos="0" w:leader="none"/>
        </w:tabs>
        <w:ind w:hanging="0" w:start="0"/>
        <w:rPr>
          <w:kern w:val="0"/>
        </w:rPr>
      </w:pPr>
      <w:r>
        <w:rPr>
          <w:kern w:val="0"/>
        </w:rPr>
        <w:t>CORP FOR APPROVAL OF</w:t>
        <w:tab/>
        <w:tab/>
        <w:tab/>
        <w:tab/>
        <w:t xml:space="preserve"> OF TEXAS</w:t>
      </w:r>
    </w:p>
    <w:p>
      <w:pPr>
        <w:pStyle w:val="Normal"/>
        <w:rPr>
          <w:b/>
          <w:bCs/>
        </w:rPr>
      </w:pPr>
      <w:r>
        <w:rPr>
          <w:b/>
          <w:bCs/>
        </w:rPr>
        <w:t>MERGER</w:t>
      </w:r>
    </w:p>
    <w:p>
      <w:pPr>
        <w:pStyle w:val="Normal"/>
        <w:rPr>
          <w:b/>
          <w:bCs/>
        </w:rPr>
      </w:pPr>
      <w:r>
        <w:rPr>
          <w:b/>
          <w:bCs/>
        </w:rPr>
      </w:r>
    </w:p>
    <w:p>
      <w:pPr>
        <w:pStyle w:val="Normal"/>
        <w:rPr>
          <w:b/>
          <w:bCs/>
        </w:rPr>
      </w:pPr>
      <w:r>
        <w:rPr>
          <w:b/>
          <w:bCs/>
        </w:rPr>
      </w:r>
    </w:p>
    <w:p>
      <w:pPr>
        <w:pStyle w:val="Normal"/>
        <w:spacing w:lineRule="auto" w:line="360"/>
        <w:rPr>
          <w:b/>
          <w:bCs/>
        </w:rPr>
      </w:pPr>
      <w:r>
        <w:rPr>
          <w:b/>
          <w:bCs/>
        </w:rPr>
      </w:r>
    </w:p>
    <w:p>
      <w:pPr>
        <w:pStyle w:val="Normal"/>
        <w:spacing w:lineRule="auto" w:line="360"/>
        <w:rPr/>
      </w:pPr>
      <w:r>
        <w:rPr/>
        <w:t xml:space="preserve">Dynegy, Inc. (“Dynegy”) and Enron Corp. (“Enron”) (collectively, Applicants) request the approval by this Commission of their proposed merger.  The Applicants separately own or control electric generation facilities in the State of Texas.  The total electric capacity owned or controlled by the Applicants in the ERCOT area of Texas is 982 MWs, or approximately 1.25% of the generation capacity located in or capable of being delivered to the ERCOT market (attachment A).  In addition, Dynegy owns a 5 MW  exempt wholesale generator in Beaumont, Texas and located in the SERC power region.  </w:t>
      </w:r>
    </w:p>
    <w:p>
      <w:pPr>
        <w:pStyle w:val="Normal"/>
        <w:spacing w:lineRule="auto" w:line="360"/>
        <w:rPr/>
      </w:pPr>
      <w:r>
        <w:rPr/>
      </w:r>
    </w:p>
    <w:p>
      <w:pPr>
        <w:pStyle w:val="Normal"/>
        <w:spacing w:lineRule="auto" w:line="360"/>
        <w:rPr/>
      </w:pPr>
      <w:r>
        <w:rPr/>
        <w:t xml:space="preserve">The Applicant’s capacity operates either as qualifying facilities or exempt wholesale generators.  As such, the Applicant is not an electric utility as defined by PURA 31.002 or a public utility as defined in PURA 11.004. The Applicants proposed merger is subject to review and approval by the Commission pursuant to PURA  39.154 and 39.158, because the electricity offered for sale in the Electric Reliability Council of Texas (ERCOT) by the merged entity will exceed one percent of the total electricity for sale in the power region.  While the merged entity will represent greater than one percent of the sales in the power region, it will own or control far less than 20% of the installed generation capacity located in or capable of delivering capacity to ERCOT.  </w:t>
      </w:r>
    </w:p>
    <w:p>
      <w:pPr>
        <w:pStyle w:val="Normal"/>
        <w:spacing w:lineRule="auto" w:line="360"/>
        <w:rPr/>
      </w:pPr>
      <w:r>
        <w:rPr/>
      </w:r>
    </w:p>
    <w:p>
      <w:pPr>
        <w:pStyle w:val="Normal"/>
        <w:spacing w:lineRule="auto" w:line="360"/>
        <w:rPr/>
      </w:pPr>
      <w:r>
        <w:rPr/>
        <w:t>As the merger will not exceed the 20% threshold for generation capacity in the relevant power region, the Applicants respectively request that the Commission to approve the merger of Dynegy, Inc and Enron Corporation.</w:t>
      </w:r>
    </w:p>
    <w:p>
      <w:pPr>
        <w:pStyle w:val="Normal"/>
        <w:spacing w:lineRule="auto" w:line="360"/>
        <w:rPr/>
      </w:pPr>
      <w:r>
        <w:rPr/>
      </w:r>
    </w:p>
    <w:p>
      <w:pPr>
        <w:pStyle w:val="Normal"/>
        <w:spacing w:lineRule="auto" w:line="360"/>
        <w:rPr/>
      </w:pPr>
      <w:r>
        <w:rPr/>
      </w:r>
    </w:p>
    <w:p>
      <w:pPr>
        <w:pStyle w:val="Normal"/>
        <w:spacing w:lineRule="auto" w:line="360"/>
        <w:rPr/>
      </w:pPr>
      <w:r>
        <w:rPr/>
        <w:t>Respectfully submitted</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t xml:space="preserve"> </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EndnoteText"/>
        <w:spacing w:lineRule="auto" w:line="360"/>
        <w:rPr/>
      </w:pPr>
      <w:r>
        <w:rPr/>
        <w:t xml:space="preserve"> </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lvl>
    <w:lvl w:ilvl="1">
      <w:start w:val="1"/>
      <w:pStyle w:val="Heading2"/>
      <w:numFmt w:val="upperLetter"/>
      <w:lvlText w:val="%2"/>
      <w:lvlJc w:val="start"/>
      <w:pPr>
        <w:tabs>
          <w:tab w:val="num" w:pos="0"/>
        </w:tabs>
        <w:ind w:start="0" w:hanging="0"/>
      </w:pPr>
    </w:lvl>
    <w:lvl w:ilvl="2">
      <w:start w:val="1"/>
      <w:pStyle w:val="Heading3"/>
      <w:numFmt w:val="decimal"/>
      <w:lvlText w:val="%3"/>
      <w:lvlJc w:val="start"/>
      <w:pPr>
        <w:tabs>
          <w:tab w:val="num" w:pos="0"/>
        </w:tabs>
        <w:ind w:start="0" w:hanging="0"/>
      </w:pPr>
    </w:lvl>
    <w:lvl w:ilvl="3">
      <w:start w:val="1"/>
      <w:pStyle w:val="Heading4"/>
      <w:numFmt w:val="lowerLetter"/>
      <w:lvlText w:val="%4"/>
      <w:lvlJc w:val="start"/>
      <w:pPr>
        <w:tabs>
          <w:tab w:val="num" w:pos="0"/>
        </w:tabs>
        <w:ind w:start="0" w:hanging="0"/>
      </w:pPr>
    </w:lvl>
    <w:lvl w:ilvl="4">
      <w:start w:val="1"/>
      <w:pStyle w:val="Heading5"/>
      <w:numFmt w:val="decimal"/>
      <w:lvlText w:val="%5"/>
      <w:lvlJc w:val="start"/>
      <w:pPr>
        <w:tabs>
          <w:tab w:val="num" w:pos="0"/>
        </w:tabs>
        <w:ind w:start="0" w:hanging="0"/>
      </w:pPr>
    </w:lvl>
    <w:lvl w:ilvl="5">
      <w:start w:val="1"/>
      <w:pStyle w:val="Heading6"/>
      <w:numFmt w:val="lowerLetter"/>
      <w:lvlText w:val="%6"/>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lowerLetter"/>
      <w:lvlText w:val="%8"/>
      <w:lvlJc w:val="start"/>
      <w:pPr>
        <w:tabs>
          <w:tab w:val="num" w:pos="0"/>
        </w:tabs>
        <w:ind w:start="0" w:hanging="0"/>
      </w:pPr>
    </w:lvl>
    <w:lvl w:ilvl="8">
      <w:start w:val="1"/>
      <w:pStyle w:val="Heading9"/>
      <w:numFmt w:val="lowerRoman"/>
      <w:lvlText w:val="%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s>
      <w:outlineLvl w:val="0"/>
    </w:pPr>
    <w:rPr>
      <w:b/>
      <w:bCs/>
      <w:kern w:val="2"/>
    </w:rPr>
  </w:style>
  <w:style w:type="paragraph" w:styleId="Heading2">
    <w:name w:val="heading 2"/>
    <w:basedOn w:val="Normal"/>
    <w:next w:val="Normal"/>
    <w:qFormat/>
    <w:pPr>
      <w:keepNext w:val="true"/>
      <w:numPr>
        <w:ilvl w:val="1"/>
        <w:numId w:val="1"/>
      </w:numPr>
      <w:tabs>
        <w:tab w:val="clear" w:pos="720"/>
        <w:tab w:val="left" w:pos="1080" w:leader="none"/>
      </w:tabs>
      <w:ind w:hanging="0" w:start="720" w:end="0"/>
      <w:outlineLvl w:val="1"/>
    </w:pPr>
    <w:rPr>
      <w:b/>
      <w:bCs/>
      <w:i/>
      <w:iCs/>
    </w:rPr>
  </w:style>
  <w:style w:type="paragraph" w:styleId="Heading3">
    <w:name w:val="heading 3"/>
    <w:basedOn w:val="Normal"/>
    <w:next w:val="Normal"/>
    <w:qFormat/>
    <w:pPr>
      <w:keepNext w:val="true"/>
      <w:numPr>
        <w:ilvl w:val="2"/>
        <w:numId w:val="1"/>
      </w:numPr>
      <w:tabs>
        <w:tab w:val="clear" w:pos="720"/>
        <w:tab w:val="left" w:pos="1800" w:leader="none"/>
      </w:tabs>
      <w:ind w:hanging="0" w:start="1440" w:end="0"/>
      <w:outlineLvl w:val="2"/>
    </w:pPr>
    <w:rPr>
      <w:b/>
      <w:bCs/>
    </w:rPr>
  </w:style>
  <w:style w:type="paragraph" w:styleId="Heading4">
    <w:name w:val="heading 4"/>
    <w:basedOn w:val="Normal"/>
    <w:next w:val="Normal"/>
    <w:qFormat/>
    <w:pPr>
      <w:keepNext w:val="true"/>
      <w:numPr>
        <w:ilvl w:val="3"/>
        <w:numId w:val="1"/>
      </w:numPr>
      <w:tabs>
        <w:tab w:val="clear" w:pos="720"/>
        <w:tab w:val="left" w:pos="2520" w:leader="none"/>
      </w:tabs>
      <w:ind w:hanging="0" w:start="2160" w:end="0"/>
      <w:outlineLvl w:val="3"/>
    </w:pPr>
    <w:rPr>
      <w:b/>
      <w:bCs/>
    </w:rPr>
  </w:style>
  <w:style w:type="paragraph" w:styleId="Heading5">
    <w:name w:val="heading 5"/>
    <w:basedOn w:val="Normal"/>
    <w:next w:val="Normal"/>
    <w:qFormat/>
    <w:pPr>
      <w:numPr>
        <w:ilvl w:val="4"/>
        <w:numId w:val="1"/>
      </w:numPr>
      <w:tabs>
        <w:tab w:val="clear" w:pos="720"/>
        <w:tab w:val="left" w:pos="3240" w:leader="none"/>
      </w:tabs>
      <w:spacing w:before="240" w:after="60"/>
      <w:ind w:hanging="0" w:start="2880" w:end="0"/>
      <w:outlineLvl w:val="4"/>
    </w:pPr>
    <w:rPr/>
  </w:style>
  <w:style w:type="paragraph" w:styleId="Heading6">
    <w:name w:val="heading 6"/>
    <w:basedOn w:val="Normal"/>
    <w:next w:val="Normal"/>
    <w:qFormat/>
    <w:pPr>
      <w:numPr>
        <w:ilvl w:val="5"/>
        <w:numId w:val="1"/>
      </w:numPr>
      <w:tabs>
        <w:tab w:val="clear" w:pos="720"/>
        <w:tab w:val="left" w:pos="3960" w:leader="none"/>
      </w:tabs>
      <w:spacing w:before="240" w:after="60"/>
      <w:ind w:hanging="0" w:start="3600" w:end="0"/>
      <w:outlineLvl w:val="5"/>
    </w:pPr>
    <w:rPr>
      <w:i/>
      <w:iCs/>
    </w:rPr>
  </w:style>
  <w:style w:type="paragraph" w:styleId="Heading8">
    <w:name w:val="heading 8"/>
    <w:basedOn w:val="Normal"/>
    <w:next w:val="Normal"/>
    <w:qFormat/>
    <w:pPr>
      <w:numPr>
        <w:ilvl w:val="7"/>
        <w:numId w:val="1"/>
      </w:numPr>
      <w:tabs>
        <w:tab w:val="clear" w:pos="720"/>
        <w:tab w:val="left" w:pos="5400" w:leader="none"/>
      </w:tabs>
      <w:spacing w:before="240" w:after="60"/>
      <w:ind w:hanging="0" w:start="5040" w:end="0"/>
      <w:outlineLvl w:val="7"/>
    </w:pPr>
    <w:rPr>
      <w:i/>
      <w:iCs/>
    </w:rPr>
  </w:style>
  <w:style w:type="paragraph" w:styleId="Heading9">
    <w:name w:val="heading 9"/>
    <w:basedOn w:val="Normal"/>
    <w:next w:val="Normal"/>
    <w:qFormat/>
    <w:pPr>
      <w:numPr>
        <w:ilvl w:val="8"/>
        <w:numId w:val="1"/>
      </w:numPr>
      <w:tabs>
        <w:tab w:val="clear" w:pos="720"/>
        <w:tab w:val="left" w:pos="6120" w:leader="none"/>
      </w:tabs>
      <w:spacing w:before="240" w:after="60"/>
      <w:ind w:hanging="0" w:start="5760" w:end="0"/>
      <w:outlineLvl w:val="8"/>
    </w:pPr>
    <w:rPr>
      <w:b/>
      <w:bCs/>
      <w:i/>
      <w:iCs/>
    </w:rPr>
  </w:style>
  <w:style w:type="character" w:styleId="DefaultParagraphFont">
    <w:name w:val="Default Paragraph Font"/>
    <w:qFormat/>
    <w:rPr/>
  </w:style>
  <w:style w:type="paragraph" w:styleId="Heading">
    <w:name w:val="Heading"/>
    <w:basedOn w:val="Normal"/>
    <w:next w:val="BodyText"/>
    <w:qFormat/>
    <w:pPr>
      <w:spacing w:before="240" w:after="60"/>
      <w:jc w:val="center"/>
    </w:pPr>
    <w:rPr>
      <w:b/>
      <w:bCs/>
      <w:kern w:val="2"/>
      <w:sz w:val="32"/>
      <w:szCs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BodyTextFirstIndent">
    <w:name w:val="Body Text First Indent"/>
    <w:basedOn w:val="BodyText"/>
    <w:qFormat/>
    <w:pPr>
      <w:ind w:firstLine="720" w:start="0" w:end="0"/>
    </w:pPr>
    <w:rPr/>
  </w:style>
  <w:style w:type="paragraph" w:styleId="FootnoteText">
    <w:name w:val="footnote text"/>
    <w:basedOn w:val="BodyTextFirstIndent"/>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bCs/>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Subtitle">
    <w:name w:val="Subtitle"/>
    <w:basedOn w:val="Normal"/>
    <w:next w:val="BodyText"/>
    <w:qFormat/>
    <w:pPr>
      <w:spacing w:before="0" w:after="60"/>
      <w:jc w:val="center"/>
    </w:pPr>
    <w:rPr/>
  </w:style>
  <w:style w:type="paragraph" w:styleId="TOAHeading">
    <w:name w:val="TOA Heading"/>
    <w:basedOn w:val="Normal"/>
    <w:next w:val="Normal"/>
    <w:qFormat/>
    <w:pPr>
      <w:spacing w:before="120" w:after="0"/>
    </w:pPr>
    <w:rPr>
      <w:b/>
      <w:bCs/>
    </w:rPr>
  </w:style>
  <w:style w:type="paragraph" w:styleId="BodyText2">
    <w:name w:val="Body Text 2"/>
    <w:basedOn w:val="Normal"/>
    <w:qFormat/>
    <w:pPr>
      <w:spacing w:before="0" w:after="120"/>
      <w:ind w:hanging="0" w:start="360" w:end="0"/>
    </w:pPr>
    <w:rPr/>
  </w:style>
  <w:style w:type="paragraph" w:styleId="BodyTextFirstIndent2">
    <w:name w:val="Body Text First Indent 2"/>
    <w:basedOn w:val="BodyText2"/>
    <w:qFormat/>
    <w:pPr>
      <w:ind w:firstLine="210" w:start="3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2001-11-13T13:48:00Z</dcterms:created>
  <dc:creator>John Stauffacher</dc:creator>
  <dc:description/>
  <dc:language>en-CA</dc:language>
  <cp:lastModifiedBy>John Stauffacher</cp:lastModifiedBy>
  <dcterms:modified xsi:type="dcterms:W3CDTF">2001-11-13T15:20:00Z</dcterms:modified>
  <cp:revision>2</cp:revision>
  <dc:subject/>
  <dc:title>Docket No</dc:title>
</cp:coreProperties>
</file>