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-BodyText2"/>
        <w:rPr/>
      </w:pPr>
      <w:r>
        <w:rPr/>
        <w:t>Dynegy and Enron Texas Generation as a Percent of ERCOT Generation , Year End 2001</w:t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7"/>
        <w:ind w:hanging="0" w:start="0"/>
        <w:rPr/>
      </w:pPr>
      <w:r>
        <w:rPr/>
        <w:t>ERCOT (MW)</w:t>
      </w:r>
    </w:p>
    <w:p>
      <w:pPr>
        <w:pStyle w:val="Normal"/>
        <w:rPr/>
      </w:pPr>
      <w:r>
        <w:rPr/>
      </w:r>
    </w:p>
    <w:p>
      <w:pPr>
        <w:pStyle w:val="EndnoteText"/>
        <w:rPr/>
      </w:pPr>
      <w:r>
        <w:rPr/>
        <w:t>Existing Generation (1/1/01)</w:t>
        <w:tab/>
      </w:r>
      <w:r>
        <w:rPr>
          <w:vertAlign w:val="superscript"/>
        </w:rPr>
        <w:t>(1)</w:t>
      </w:r>
      <w:r>
        <w:rPr/>
        <w:tab/>
        <w:tab/>
        <w:tab/>
        <w:tab/>
        <w:t>69,530</w:t>
        <w:tab/>
      </w:r>
    </w:p>
    <w:p>
      <w:pPr>
        <w:pStyle w:val="EndnoteText"/>
        <w:rPr/>
      </w:pPr>
      <w:r>
        <w:rPr/>
        <w:t xml:space="preserve">2001 Additions </w:t>
      </w:r>
      <w:r>
        <w:rPr>
          <w:vertAlign w:val="superscript"/>
        </w:rPr>
        <w:t>(2)</w:t>
      </w:r>
      <w:r>
        <w:rPr/>
        <w:tab/>
        <w:tab/>
        <w:tab/>
        <w:tab/>
        <w:tab/>
        <w:tab/>
        <w:t xml:space="preserve">  8,303</w:t>
        <w:tab/>
      </w:r>
    </w:p>
    <w:p>
      <w:pPr>
        <w:pStyle w:val="EndnoteText"/>
        <w:rPr/>
      </w:pPr>
      <w:r>
        <w:rPr/>
        <w:t>Additions next 12 months (Jan/Nov 2002)</w:t>
      </w:r>
      <w:r>
        <w:rPr>
          <w:vertAlign w:val="superscript"/>
        </w:rPr>
        <w:t xml:space="preserve">(3)                               </w:t>
      </w:r>
      <w:r>
        <w:rPr/>
        <w:t xml:space="preserve">      5,393</w:t>
      </w:r>
    </w:p>
    <w:p>
      <w:pPr>
        <w:pStyle w:val="EndnoteText"/>
        <w:rPr/>
      </w:pPr>
      <w:r>
        <w:rPr/>
        <w:t>Capacity Available Through DC ties</w:t>
        <w:tab/>
        <w:tab/>
        <w:tab/>
        <w:t xml:space="preserve">     </w:t>
        <w:tab/>
        <w:t xml:space="preserve">     800</w:t>
        <w:tab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  <w:t>Total ERCOT Capacity</w:t>
        <w:tab/>
        <w:tab/>
        <w:tab/>
        <w:tab/>
        <w:tab/>
        <w:t>84,026</w:t>
      </w:r>
    </w:p>
    <w:p>
      <w:pPr>
        <w:pStyle w:val="EndnoteText"/>
        <w:rPr>
          <w:vertAlign w:val="superscript"/>
        </w:rPr>
      </w:pPr>
      <w:r>
        <w:rPr>
          <w:vertAlign w:val="superscript"/>
        </w:rPr>
      </w:r>
    </w:p>
    <w:p>
      <w:pPr>
        <w:pStyle w:val="EndnoteText"/>
        <w:rPr>
          <w:vertAlign w:val="superscript"/>
        </w:rPr>
      </w:pPr>
      <w:r>
        <w:rPr>
          <w:vertAlign w:val="superscript"/>
        </w:rPr>
      </w:r>
    </w:p>
    <w:p>
      <w:pPr>
        <w:pStyle w:val="Endnot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Dynegy and Enron</w:t>
      </w:r>
    </w:p>
    <w:p>
      <w:pPr>
        <w:pStyle w:val="EndnoteTex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EndnoteText"/>
        <w:rPr>
          <w:b/>
          <w:bCs/>
        </w:rPr>
      </w:pPr>
      <w:r>
        <w:rPr>
          <w:b/>
          <w:bCs/>
        </w:rPr>
        <w:t>Dynegy Capacity (MW)</w:t>
      </w:r>
    </w:p>
    <w:p>
      <w:pPr>
        <w:pStyle w:val="EndnoteText"/>
        <w:rPr/>
      </w:pPr>
      <w:r>
        <w:rPr/>
        <w:t>Cogen Lyondell</w:t>
      </w:r>
      <w:r>
        <w:rPr>
          <w:vertAlign w:val="superscript"/>
        </w:rPr>
        <w:t>(4)</w:t>
      </w:r>
      <w:r>
        <w:rPr/>
        <w:tab/>
        <w:tab/>
        <w:tab/>
        <w:tab/>
        <w:tab/>
        <w:tab/>
        <w:t xml:space="preserve">    280</w:t>
      </w:r>
    </w:p>
    <w:p>
      <w:pPr>
        <w:pStyle w:val="EndnoteText"/>
        <w:rPr/>
      </w:pPr>
      <w:r>
        <w:rPr/>
        <w:t>Oyster Creek Cogen</w:t>
      </w:r>
      <w:r>
        <w:rPr>
          <w:vertAlign w:val="superscript"/>
        </w:rPr>
        <w:t>(4)</w:t>
      </w:r>
      <w:r>
        <w:rPr/>
        <w:tab/>
        <w:tab/>
        <w:tab/>
        <w:tab/>
        <w:tab/>
        <w:tab/>
        <w:t xml:space="preserve">    189</w:t>
      </w:r>
    </w:p>
    <w:p>
      <w:pPr>
        <w:pStyle w:val="EndnoteText"/>
        <w:rPr/>
      </w:pPr>
      <w:r>
        <w:rPr/>
        <w:t>Tenaska III Partners—Paris</w:t>
        <w:tab/>
        <w:tab/>
        <w:tab/>
        <w:tab/>
        <w:tab/>
        <w:t xml:space="preserve">      36</w:t>
      </w:r>
    </w:p>
    <w:p>
      <w:pPr>
        <w:pStyle w:val="EndnoteText"/>
        <w:rPr/>
      </w:pPr>
      <w:r>
        <w:rPr/>
        <w:t>Tenaska Frontier</w:t>
        <w:tab/>
        <w:tab/>
        <w:tab/>
        <w:tab/>
        <w:tab/>
        <w:tab/>
        <w:t xml:space="preserve">    116</w:t>
        <w:tab/>
      </w:r>
    </w:p>
    <w:p>
      <w:pPr>
        <w:pStyle w:val="EndnoteText"/>
        <w:rPr/>
      </w:pPr>
      <w:r>
        <w:rPr/>
        <w:t>DMT DC Tie firm capacity rights</w:t>
        <w:tab/>
        <w:tab/>
        <w:tab/>
        <w:tab/>
        <w:t xml:space="preserve">      50</w:t>
        <w:tab/>
      </w:r>
    </w:p>
    <w:p>
      <w:pPr>
        <w:pStyle w:val="EndnoteText"/>
        <w:rPr/>
      </w:pPr>
      <w:r>
        <w:rPr/>
        <w:tab/>
        <w:tab/>
        <w:tab/>
      </w:r>
    </w:p>
    <w:p>
      <w:pPr>
        <w:pStyle w:val="EndnoteText"/>
        <w:rPr/>
      </w:pPr>
      <w:r>
        <w:rPr/>
      </w:r>
    </w:p>
    <w:p>
      <w:pPr>
        <w:pStyle w:val="EndnoteText"/>
        <w:rPr>
          <w:b/>
          <w:bCs/>
        </w:rPr>
      </w:pPr>
      <w:r>
        <w:rPr>
          <w:b/>
          <w:bCs/>
        </w:rPr>
        <w:t>Enron Capacity (MW)</w:t>
      </w:r>
    </w:p>
    <w:p>
      <w:pPr>
        <w:pStyle w:val="EndnoteText"/>
        <w:rPr/>
      </w:pPr>
      <w:r>
        <w:rPr/>
        <w:t>Ponderosa Pine Energy Partners LTD</w:t>
        <w:tab/>
        <w:tab/>
        <w:tab/>
        <w:tab/>
        <w:t xml:space="preserve">     26</w:t>
      </w:r>
    </w:p>
    <w:p>
      <w:pPr>
        <w:pStyle w:val="EndnoteText"/>
        <w:rPr/>
      </w:pPr>
      <w:r>
        <w:rPr/>
        <w:t>Enron Sandhill LP</w:t>
        <w:tab/>
        <w:tab/>
        <w:tab/>
        <w:tab/>
        <w:tab/>
        <w:tab/>
        <w:t xml:space="preserve">     17</w:t>
      </w:r>
    </w:p>
    <w:p>
      <w:pPr>
        <w:pStyle w:val="EndnoteText"/>
        <w:rPr/>
      </w:pPr>
      <w:r>
        <w:rPr/>
        <w:t>Indian Mesa I &amp; II</w:t>
      </w:r>
      <w:r>
        <w:rPr>
          <w:vertAlign w:val="superscript"/>
        </w:rPr>
        <w:t>(5)</w:t>
      </w:r>
      <w:r>
        <w:rPr/>
        <w:tab/>
        <w:tab/>
        <w:tab/>
        <w:tab/>
        <w:tab/>
        <w:tab/>
        <w:t xml:space="preserve">   150</w:t>
      </w:r>
    </w:p>
    <w:p>
      <w:pPr>
        <w:pStyle w:val="EndnoteText"/>
        <w:rPr/>
      </w:pPr>
      <w:r>
        <w:rPr/>
        <w:tab/>
      </w:r>
    </w:p>
    <w:p>
      <w:pPr>
        <w:pStyle w:val="EndnoteText"/>
        <w:rPr/>
      </w:pPr>
      <w:r>
        <w:rPr>
          <w:b/>
          <w:bCs/>
        </w:rPr>
        <w:t>Subtotal, Dynegy and Enron</w:t>
      </w:r>
      <w:r>
        <w:rPr>
          <w:b/>
          <w:bCs/>
          <w:vertAlign w:val="superscript"/>
        </w:rPr>
        <w:t>(6)</w:t>
      </w:r>
      <w:r>
        <w:rPr>
          <w:b/>
          <w:bCs/>
        </w:rPr>
        <w:tab/>
        <w:tab/>
        <w:tab/>
        <w:tab/>
      </w:r>
      <w:r>
        <w:rPr/>
        <w:t xml:space="preserve">   864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>
          <w:b/>
          <w:bCs/>
        </w:rPr>
        <w:t>Market Share--  Dynegy + Enron</w:t>
      </w:r>
      <w:r>
        <w:rPr/>
        <w:tab/>
        <w:tab/>
        <w:tab/>
        <w:tab/>
        <w:t xml:space="preserve">  1.03%</w:t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/>
      </w:r>
    </w:p>
    <w:p>
      <w:pPr>
        <w:pStyle w:val="EndnoteText"/>
        <w:rPr/>
      </w:pPr>
      <w:r>
        <w:rPr>
          <w:vertAlign w:val="superscript"/>
        </w:rPr>
        <w:t>(1)</w:t>
      </w:r>
      <w:r>
        <w:rPr/>
        <w:t xml:space="preserve"> Source:  DOE EIA-411 of 01/01/01</w:t>
      </w:r>
    </w:p>
    <w:p>
      <w:pPr>
        <w:pStyle w:val="EndnoteText"/>
        <w:rPr/>
      </w:pPr>
      <w:r>
        <w:rPr>
          <w:vertAlign w:val="superscript"/>
        </w:rPr>
        <w:t>(2)</w:t>
      </w:r>
      <w:r>
        <w:rPr/>
        <w:t xml:space="preserve"> Source:  Texas PUC Presentation of Chairman Yzaguirre to the Electric Utility                 Legislative Oversight Committee, September 7, 2001 </w:t>
      </w:r>
    </w:p>
    <w:p>
      <w:pPr>
        <w:pStyle w:val="EndnoteText"/>
        <w:rPr/>
      </w:pPr>
      <w:r>
        <w:rPr>
          <w:vertAlign w:val="superscript"/>
        </w:rPr>
        <w:t xml:space="preserve">(3) </w:t>
      </w:r>
      <w:r>
        <w:rPr/>
        <w:t xml:space="preserve">Source: PUCT –New Electric Generating Plants in Texas, September 2001 </w:t>
      </w:r>
    </w:p>
    <w:p>
      <w:pPr>
        <w:pStyle w:val="EndnoteText"/>
        <w:rPr/>
      </w:pPr>
      <w:r>
        <w:rPr>
          <w:vertAlign w:val="superscript"/>
        </w:rPr>
        <w:t>(4)</w:t>
      </w:r>
      <w:r>
        <w:rPr/>
        <w:t xml:space="preserve"> Dynegy share of summer net dependable capability</w:t>
      </w:r>
    </w:p>
    <w:p>
      <w:pPr>
        <w:pStyle w:val="EndnoteText"/>
        <w:rPr/>
      </w:pPr>
      <w:r>
        <w:rPr>
          <w:vertAlign w:val="superscript"/>
        </w:rPr>
        <w:t>(5)</w:t>
      </w:r>
      <w:r>
        <w:rPr/>
        <w:t xml:space="preserve"> LOI signed to sell project upon project financing, expected full service date Dec. 2001</w:t>
      </w:r>
    </w:p>
    <w:p>
      <w:pPr>
        <w:pStyle w:val="EndnoteText"/>
        <w:rPr/>
      </w:pPr>
      <w:r>
        <w:rPr>
          <w:vertAlign w:val="superscript"/>
        </w:rPr>
        <w:t>(6)</w:t>
      </w:r>
      <w:r>
        <w:rPr/>
        <w:t xml:space="preserve"> Excludes Capacity Auction awards (maximum month in 2002 of 800 MW)</w:t>
        <w:tab/>
        <w:tab/>
        <w:tab/>
        <w:tab/>
        <w:tab/>
      </w:r>
    </w:p>
    <w:p>
      <w:pPr>
        <w:pStyle w:val="EndnoteText"/>
        <w:rPr/>
      </w:pPr>
      <w:r>
        <w:rPr/>
        <w:t>jjs  11/16/01</w:t>
      </w:r>
    </w:p>
    <w:p>
      <w:pPr>
        <w:pStyle w:val="EndnoteText"/>
        <w:rPr/>
      </w:pPr>
      <w:r>
        <w:rPr/>
        <w:tab/>
        <w:tab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mc:AlternateContent>
        <mc:Choice Requires="wps">
          <w:drawing>
            <wp:anchor behindDoc="0" distT="0" distB="0" distL="0" distR="0" simplePos="0" locked="0" layoutInCell="1" allowOverlap="1" relativeHeight="2">
              <wp:simplePos x="0" y="0"/>
              <wp:positionH relativeFrom="column">
                <wp:posOffset>3794760</wp:posOffset>
              </wp:positionH>
              <wp:positionV relativeFrom="paragraph">
                <wp:posOffset>2651760</wp:posOffset>
              </wp:positionV>
              <wp:extent cx="2651760" cy="1554480"/>
              <wp:effectExtent l="0" t="0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1760" cy="155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overflowPunct w:val="false"/>
                            <w:bidi w:val="0"/>
                            <w:jc w:val="center"/>
                            <w:rPr/>
                          </w:pPr>
                          <w:r>
                            <w:rPr>
                              <w:kern w:val="2"/>
                              <w:sz w:val="144"/>
                              <w:szCs w:val="144"/>
                              <w:rFonts w:ascii="Times New Roman" w:hAnsi="Times New Roman" w:eastAsia="Times New Roman" w:cs="Times New Roman"/>
                              <w:color w:val="C0C0C0"/>
                              <w:lang w:val="en-US"/>
                            </w:rPr>
                            <w:t>Draft</w:t>
                          </w:r>
                        </w:p>
                      </w:txbxContent>
                    </wps:txbx>
                    <wps:bodyPr wrap="square" lIns="35640" rIns="35640" tIns="17640" bIns="176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l21600,21600l21600,xe">
              <v:stroke joinstyle="miter"/>
              <v:path gradientshapeok="t" o:connecttype="rect"/>
            </v:shapetype>
            <v:shape id="shape_0" fillcolor="white" stroked="f" o:allowincell="f" style="position:absolute;margin-left:298.8pt;margin-top:208.8pt;width:208.75pt;height:122.35pt;mso-wrap-style:square;v-text-anchor:top" type="_x0000_t202">
              <v:textbox>
                <w:txbxContent>
                  <w:p>
                    <w:pPr>
                      <w:overflowPunct w:val="false"/>
                      <w:bidi w:val="0"/>
                      <w:jc w:val="center"/>
                      <w:rPr/>
                    </w:pPr>
                    <w:r>
                      <w:rPr>
                        <w:kern w:val="2"/>
                        <w:sz w:val="144"/>
                        <w:szCs w:val="144"/>
                        <w:rFonts w:ascii="Times New Roman" w:hAnsi="Times New Roman" w:eastAsia="Times New Roman" w:cs="Times New Roman"/>
                        <w:color w:val="C0C0C0"/>
                        <w:lang w:val="en-US"/>
                      </w:rPr>
                      <w:t>Draft</w:t>
                    </w:r>
                  </w:p>
                </w:txbxContent>
              </v:textbox>
              <v:fill o:detectmouseclick="t" type="solid" color2="black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upperLetter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decimal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lowerLetter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decimal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lowerLetter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lowerLetter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lowerRoman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outlineLvl w:val="0"/>
    </w:pPr>
    <w:rPr>
      <w:b/>
      <w:bCs/>
      <w:kern w:val="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080" w:leader="none"/>
      </w:tabs>
      <w:ind w:hanging="0" w:start="720" w:end="0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00" w:leader="none"/>
      </w:tabs>
      <w:ind w:hanging="0" w:start="1440" w:end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520" w:leader="none"/>
      </w:tabs>
      <w:ind w:hanging="0" w:start="2160" w:end="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  <w:tab w:val="left" w:pos="3240" w:leader="none"/>
      </w:tabs>
      <w:spacing w:before="240" w:after="60"/>
      <w:ind w:hanging="0" w:start="2880" w:end="0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  <w:tab w:val="left" w:pos="3960" w:leader="none"/>
      </w:tabs>
      <w:spacing w:before="240" w:after="60"/>
      <w:ind w:hanging="0" w:start="3600" w:end="0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  <w:tab w:val="left" w:pos="5400" w:leader="none"/>
      </w:tabs>
      <w:spacing w:before="240" w:after="60"/>
      <w:ind w:hanging="0" w:start="5040" w:end="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  <w:tab w:val="left" w:pos="6120" w:leader="none"/>
      </w:tabs>
      <w:spacing w:before="240" w:after="60"/>
      <w:ind w:hanging="0" w:start="5760" w:end="0"/>
      <w:outlineLvl w:val="8"/>
    </w:pPr>
    <w:rPr>
      <w:b/>
      <w:bCs/>
      <w:i/>
      <w:i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</w:pPr>
    <w:rPr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BodyTextFirstIndent">
    <w:name w:val="Body Text First Indent"/>
    <w:basedOn w:val="BodyText"/>
    <w:qFormat/>
    <w:pPr>
      <w:ind w:firstLine="720" w:start="0" w:end="0"/>
    </w:pPr>
    <w:rPr/>
  </w:style>
  <w:style w:type="paragraph" w:styleId="FootnoteText">
    <w:name w:val="footnote text"/>
    <w:basedOn w:val="BodyTextFirstIndent"/>
    <w:pPr/>
    <w:rPr/>
  </w:style>
  <w:style w:type="paragraph" w:styleId="Index1">
    <w:name w:val="index 1"/>
    <w:basedOn w:val="Normal"/>
    <w:next w:val="Normal"/>
    <w:pPr>
      <w:ind w:hanging="240" w:start="240" w:end="0"/>
    </w:pPr>
    <w:rPr/>
  </w:style>
  <w:style w:type="paragraph" w:styleId="IndexHeading">
    <w:name w:val="index heading"/>
    <w:basedOn w:val="Normal"/>
    <w:next w:val="Index1"/>
    <w:pPr/>
    <w:rPr>
      <w:b/>
      <w:bCs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b/>
      <w:bCs/>
    </w:rPr>
  </w:style>
  <w:style w:type="paragraph" w:styleId="BodyText2">
    <w:name w:val="Body Text 2"/>
    <w:basedOn w:val="Normal"/>
    <w:qFormat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2"/>
    <w:qFormat/>
    <w:pPr>
      <w:ind w:firstLine="210" w:start="360" w:end="0"/>
    </w:pPr>
    <w:rPr/>
  </w:style>
  <w:style w:type="paragraph" w:styleId="WW-BodyText2">
    <w:name w:val="WW-Body Text 2"/>
    <w:basedOn w:val="Normal"/>
    <w:qFormat/>
    <w:pPr>
      <w:jc w:val="center"/>
    </w:pPr>
    <w:rPr>
      <w:b/>
      <w:bCs/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2001-11-13T12:58:00Z</dcterms:created>
  <dc:creator>John Stauffacher</dc:creator>
  <dc:description/>
  <dc:language>en-CA</dc:language>
  <cp:lastModifiedBy>John Stauffacher</cp:lastModifiedBy>
  <cp:lastPrinted>2001-11-16T16:10:00Z</cp:lastPrinted>
  <dcterms:modified xsi:type="dcterms:W3CDTF">2001-11-16T19:42:00Z</dcterms:modified>
  <cp:revision>6</cp:revision>
  <dc:subject/>
  <dc:title>Dynegy and Enron Texas Generation as a Percent of ERCOT Generation , Year End 2001</dc:title>
</cp:coreProperties>
</file>