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BodyText2"/>
        <w:rPr/>
      </w:pPr>
      <w:r>
        <w:rPr/>
      </w:r>
    </w:p>
    <w:p>
      <w:pPr>
        <w:pStyle w:val="WW-BodyText2"/>
        <w:rPr/>
      </w:pPr>
      <w:r>
        <w:rPr/>
      </w:r>
    </w:p>
    <w:p>
      <w:pPr>
        <w:pStyle w:val="WW-BodyText2"/>
        <w:rPr/>
      </w:pPr>
      <w:r>
        <w:rPr/>
        <w:t>Dynegy and Enron Texas Generation as a Percent of ERCOT Generation , Year End 2001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7"/>
        <w:ind w:hanging="0" w:start="0"/>
        <w:rPr/>
      </w:pPr>
      <w:r>
        <w:rPr/>
        <w:t>ERCOT (MW)</w:t>
      </w:r>
    </w:p>
    <w:p>
      <w:pPr>
        <w:pStyle w:val="Normal"/>
        <w:rPr/>
      </w:pPr>
      <w:r>
        <w:rPr/>
      </w:r>
    </w:p>
    <w:p>
      <w:pPr>
        <w:pStyle w:val="EndnoteText"/>
        <w:rPr/>
      </w:pPr>
      <w:r>
        <w:rPr/>
        <w:t>Existing Generation (1/1/01)</w:t>
        <w:tab/>
      </w:r>
      <w:r>
        <w:rPr>
          <w:vertAlign w:val="superscript"/>
        </w:rPr>
        <w:t>(1)</w:t>
      </w:r>
      <w:r>
        <w:rPr/>
        <w:tab/>
        <w:tab/>
        <w:tab/>
        <w:tab/>
        <w:t>69,530</w:t>
        <w:tab/>
      </w:r>
    </w:p>
    <w:p>
      <w:pPr>
        <w:pStyle w:val="EndnoteText"/>
        <w:rPr/>
      </w:pPr>
      <w:r>
        <w:rPr/>
        <w:t xml:space="preserve">2001 Additions </w:t>
      </w:r>
      <w:r>
        <w:rPr>
          <w:vertAlign w:val="superscript"/>
        </w:rPr>
        <w:t>(2)</w:t>
      </w:r>
      <w:r>
        <w:rPr/>
        <w:tab/>
        <w:tab/>
        <w:tab/>
        <w:tab/>
        <w:tab/>
        <w:tab/>
        <w:t xml:space="preserve">  8,303</w:t>
        <w:tab/>
      </w:r>
    </w:p>
    <w:p>
      <w:pPr>
        <w:pStyle w:val="EndnoteText"/>
        <w:rPr/>
      </w:pPr>
      <w:r>
        <w:rPr/>
        <w:t>Capacity Available Through DC tie</w:t>
      </w:r>
      <w:r>
        <w:rPr>
          <w:vertAlign w:val="superscript"/>
        </w:rPr>
        <w:t>(3)</w:t>
      </w:r>
      <w:r>
        <w:rPr/>
        <w:tab/>
        <w:tab/>
        <w:tab/>
        <w:t xml:space="preserve">     326</w:t>
        <w:tab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  <w:t>Total ERCOT Capacity</w:t>
        <w:tab/>
        <w:tab/>
        <w:tab/>
        <w:tab/>
        <w:tab/>
        <w:t>78,159</w:t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Dynegy and Enron</w:t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EndnoteText"/>
        <w:rPr>
          <w:b/>
          <w:bCs/>
        </w:rPr>
      </w:pPr>
      <w:r>
        <w:rPr>
          <w:b/>
          <w:bCs/>
        </w:rPr>
        <w:t>Dynegy Capacity (MW)</w:t>
      </w:r>
    </w:p>
    <w:p>
      <w:pPr>
        <w:pStyle w:val="EndnoteText"/>
        <w:rPr/>
      </w:pPr>
      <w:r>
        <w:rPr/>
        <w:t>Cogen Lyondell</w:t>
        <w:tab/>
        <w:tab/>
        <w:tab/>
        <w:tab/>
        <w:tab/>
        <w:tab/>
        <w:t xml:space="preserve">    305</w:t>
      </w:r>
    </w:p>
    <w:p>
      <w:pPr>
        <w:pStyle w:val="EndnoteText"/>
        <w:rPr/>
      </w:pPr>
      <w:r>
        <w:rPr/>
        <w:t>Oyster Creek Cogen</w:t>
        <w:tab/>
        <w:tab/>
        <w:tab/>
        <w:tab/>
        <w:tab/>
        <w:tab/>
        <w:t xml:space="preserve">    212</w:t>
      </w:r>
    </w:p>
    <w:p>
      <w:pPr>
        <w:pStyle w:val="EndnoteText"/>
        <w:rPr/>
      </w:pPr>
      <w:r>
        <w:rPr/>
        <w:t>Tenaska III Partners—Paris</w:t>
        <w:tab/>
        <w:tab/>
        <w:tab/>
        <w:tab/>
        <w:tab/>
        <w:t xml:space="preserve">      36</w:t>
      </w:r>
    </w:p>
    <w:p>
      <w:pPr>
        <w:pStyle w:val="EndnoteText"/>
        <w:rPr/>
      </w:pPr>
      <w:r>
        <w:rPr/>
        <w:t>Tenaska Frontier</w:t>
        <w:tab/>
        <w:tab/>
        <w:tab/>
        <w:tab/>
        <w:tab/>
        <w:tab/>
        <w:t xml:space="preserve">    116</w:t>
        <w:tab/>
      </w:r>
    </w:p>
    <w:p>
      <w:pPr>
        <w:pStyle w:val="EndnoteText"/>
        <w:rPr/>
      </w:pPr>
      <w:r>
        <w:rPr/>
        <w:tab/>
        <w:tab/>
        <w:tab/>
      </w:r>
    </w:p>
    <w:p>
      <w:pPr>
        <w:pStyle w:val="EndnoteText"/>
        <w:rPr/>
      </w:pPr>
      <w:r>
        <w:rPr/>
      </w:r>
    </w:p>
    <w:p>
      <w:pPr>
        <w:pStyle w:val="EndnoteText"/>
        <w:rPr>
          <w:b/>
          <w:bCs/>
        </w:rPr>
      </w:pPr>
      <w:r>
        <w:rPr>
          <w:b/>
          <w:bCs/>
        </w:rPr>
        <w:t>Enron Capacity (MW)</w:t>
      </w:r>
    </w:p>
    <w:p>
      <w:pPr>
        <w:pStyle w:val="EndnoteText"/>
        <w:rPr/>
      </w:pPr>
      <w:r>
        <w:rPr/>
        <w:t>Ponderosa Pine Energy Partners LTD</w:t>
        <w:tab/>
        <w:tab/>
        <w:tab/>
        <w:t xml:space="preserve">    263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b/>
          <w:bCs/>
        </w:rPr>
        <w:t>Subtotal, Dynegy and Enron</w:t>
        <w:tab/>
        <w:tab/>
        <w:tab/>
        <w:tab/>
      </w:r>
      <w:r>
        <w:rPr/>
        <w:t xml:space="preserve">    982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b/>
          <w:bCs/>
        </w:rPr>
        <w:t>Market Share--  Dynegy + Enron</w:t>
      </w:r>
      <w:r>
        <w:rPr/>
        <w:tab/>
        <w:tab/>
        <w:tab/>
        <w:tab/>
        <w:t xml:space="preserve">  1.26%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vertAlign w:val="superscript"/>
        </w:rPr>
        <w:t>(1)</w:t>
      </w:r>
      <w:r>
        <w:rPr/>
        <w:t xml:space="preserve"> Source:  DOE EIA-411 of 01/01/01</w:t>
      </w:r>
    </w:p>
    <w:p>
      <w:pPr>
        <w:pStyle w:val="EndnoteText"/>
        <w:rPr/>
      </w:pPr>
      <w:r>
        <w:rPr>
          <w:vertAlign w:val="superscript"/>
        </w:rPr>
        <w:t>(2)</w:t>
      </w:r>
      <w:r>
        <w:rPr/>
        <w:t xml:space="preserve"> Source:  Texas PUC Presentation of Chairman Yzaguirre to the Electric Utility Legislative Oversight Committee, September 7, 2001 </w:t>
      </w:r>
    </w:p>
    <w:p>
      <w:pPr>
        <w:pStyle w:val="EndnoteText"/>
        <w:rPr/>
      </w:pPr>
      <w:r>
        <w:rPr>
          <w:vertAlign w:val="superscript"/>
        </w:rPr>
        <w:t xml:space="preserve">(3) </w:t>
      </w:r>
      <w:r>
        <w:rPr/>
        <w:t>Source: ORA adjustment in Docket 21388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  <w:tab/>
        <w:tab/>
        <w:tab/>
        <w:tab/>
        <w:tab/>
        <w:tab/>
        <w:tab/>
        <w:tab/>
        <w:tab/>
        <w:tab/>
        <w:t>jjs</w:t>
      </w:r>
    </w:p>
    <w:p>
      <w:pPr>
        <w:pStyle w:val="EndnoteText"/>
        <w:rPr/>
      </w:pPr>
      <w:r>
        <w:rPr/>
        <w:tab/>
        <w:tab/>
        <w:tab/>
        <w:tab/>
        <w:tab/>
        <w:tab/>
        <w:tab/>
        <w:tab/>
        <w:tab/>
        <w:tab/>
        <w:t>11/13/01</w:t>
      </w:r>
    </w:p>
    <w:p>
      <w:pPr>
        <w:pStyle w:val="EndnoteText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lowerLetter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lowerLetter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080" w:leader="none"/>
      </w:tabs>
      <w:ind w:hanging="0" w:start="720" w:end="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0" w:leader="none"/>
      </w:tabs>
      <w:ind w:hanging="0" w:start="144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0" w:leader="none"/>
      </w:tabs>
      <w:ind w:hanging="0" w:start="216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hanging="0" w:start="2880" w:end="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hanging="0" w:start="3600" w:end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hanging="0" w:start="5040" w:end="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hanging="0" w:start="5760" w:end="0"/>
      <w:outlineLvl w:val="8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FootnoteText">
    <w:name w:val="footnote text"/>
    <w:basedOn w:val="BodyTextFirstIndent"/>
    <w:pPr/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  <w:bCs/>
    </w:rPr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2"/>
    <w:qFormat/>
    <w:pPr>
      <w:ind w:firstLine="210" w:start="360" w:end="0"/>
    </w:pPr>
    <w:rPr/>
  </w:style>
  <w:style w:type="paragraph" w:styleId="WW-BodyText2">
    <w:name w:val="WW-Body Text 2"/>
    <w:basedOn w:val="Normal"/>
    <w:qFormat/>
    <w:pPr>
      <w:jc w:val="center"/>
    </w:pPr>
    <w:rPr>
      <w:b/>
      <w:b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2001-11-13T12:58:00Z</dcterms:created>
  <dc:creator>John Stauffacher</dc:creator>
  <dc:description/>
  <dc:language>en-CA</dc:language>
  <cp:lastModifiedBy>John Stauffacher</cp:lastModifiedBy>
  <cp:lastPrinted>2001-11-13T11:25:00Z</cp:lastPrinted>
  <dcterms:modified xsi:type="dcterms:W3CDTF">2001-11-13T15:17:00Z</dcterms:modified>
  <cp:revision>2</cp:revision>
  <dc:subject/>
  <dc:title>Dynegy and Enron Texas Generation as a Percent of ERCOT Generation , Year End 2001</dc:title>
</cp:coreProperties>
</file>