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iCs/>
          <w:sz w:val="20"/>
        </w:rPr>
      </w:pPr>
      <w:r>
        <w:rPr>
          <w:i/>
          <w:iCs/>
          <w:sz w:val="20"/>
        </w:rPr>
        <w:t>Privileged and Confidential</w:t>
      </w:r>
    </w:p>
    <w:p>
      <w:pPr>
        <w:pStyle w:val="Normal"/>
        <w:jc w:val="center"/>
        <w:rPr>
          <w:i/>
          <w:i/>
          <w:iCs/>
          <w:sz w:val="20"/>
        </w:rPr>
      </w:pPr>
      <w:r>
        <w:rPr>
          <w:i/>
          <w:iCs/>
          <w:sz w:val="20"/>
        </w:rPr>
        <w:t>Prepared at the Request of Counsel</w:t>
      </w:r>
    </w:p>
    <w:p>
      <w:pPr>
        <w:pStyle w:val="Normal"/>
        <w:jc w:val="center"/>
        <w:rPr>
          <w:i/>
          <w:i/>
          <w:iCs/>
          <w:sz w:val="20"/>
        </w:rPr>
      </w:pPr>
      <w:r>
        <w:rPr>
          <w:i/>
          <w:iCs/>
          <w:sz w:val="20"/>
        </w:rPr>
      </w:r>
    </w:p>
    <w:p>
      <w:pPr>
        <w:pStyle w:val="Normal"/>
        <w:jc w:val="center"/>
        <w:rPr>
          <w:i/>
          <w:i/>
          <w:iCs/>
          <w:sz w:val="20"/>
        </w:rPr>
      </w:pPr>
      <w:r>
        <w:rPr>
          <w:i/>
          <w:iCs/>
          <w:sz w:val="20"/>
        </w:rPr>
      </w:r>
    </w:p>
    <w:p>
      <w:pPr>
        <w:pStyle w:val="Normal"/>
        <w:jc w:val="center"/>
        <w:rPr>
          <w:b/>
          <w:bCs/>
        </w:rPr>
      </w:pPr>
      <w:r>
        <w:rPr>
          <w:b/>
          <w:bCs/>
        </w:rPr>
        <w:t>Data Request for Dynegy-Enron Transaction</w:t>
      </w:r>
    </w:p>
    <w:p>
      <w:pPr>
        <w:pStyle w:val="Normal"/>
        <w:jc w:val="center"/>
        <w:rPr>
          <w:b/>
          <w:bCs/>
        </w:rPr>
      </w:pPr>
      <w:r>
        <w:rPr>
          <w:b/>
          <w:bCs/>
        </w:rPr>
        <w:t>(Competition-Related Issues FERC)</w:t>
      </w:r>
    </w:p>
    <w:p>
      <w:pPr>
        <w:pStyle w:val="Normal"/>
        <w:jc w:val="center"/>
        <w:rPr>
          <w:b/>
          <w:bCs/>
        </w:rPr>
      </w:pPr>
      <w:r>
        <w:rPr>
          <w:b/>
          <w:bCs/>
        </w:rPr>
        <w:t>11/27/2001</w:t>
      </w:r>
    </w:p>
    <w:p>
      <w:pPr>
        <w:pStyle w:val="Normal"/>
        <w:jc w:val="center"/>
        <w:rPr>
          <w:b/>
          <w:bCs/>
        </w:rPr>
      </w:pPr>
      <w:r>
        <w:rPr>
          <w:b/>
          <w:bCs/>
        </w:rPr>
      </w:r>
    </w:p>
    <w:p>
      <w:pPr>
        <w:pStyle w:val="Normal"/>
        <w:jc w:val="center"/>
        <w:rPr>
          <w:b/>
          <w:bCs/>
        </w:rPr>
      </w:pPr>
      <w:r>
        <w:rPr>
          <w:b/>
          <w:bCs/>
        </w:rPr>
      </w:r>
    </w:p>
    <w:p>
      <w:pPr>
        <w:pStyle w:val="Normal"/>
        <w:jc w:val="both"/>
        <w:rPr>
          <w:u w:val="single"/>
        </w:rPr>
      </w:pPr>
      <w:r>
        <w:rPr>
          <w:u w:val="single"/>
        </w:rPr>
        <w:t>Responses pertain to Transwestern Pipeline Company:</w:t>
      </w:r>
    </w:p>
    <w:p>
      <w:pPr>
        <w:pStyle w:val="Normal"/>
        <w:jc w:val="both"/>
        <w:rPr>
          <w:u w:val="single"/>
        </w:rPr>
      </w:pPr>
      <w:r>
        <w:rPr>
          <w:u w:val="single"/>
        </w:rPr>
      </w:r>
    </w:p>
    <w:p>
      <w:pPr>
        <w:pStyle w:val="BodyTextIndent"/>
        <w:ind w:hanging="720" w:start="720" w:end="0"/>
        <w:rPr/>
      </w:pPr>
      <w:r>
        <w:rPr/>
        <w:t>1.</w:t>
        <w:tab/>
        <w:t xml:space="preserve">TransPecos (Transwestern and Kinder Morgan).  Proposed pipeline project to construct 190 miles of 24” diameter pipeline originating in Ward County, Texas and terminating in Hudspeth County, Texas with capacity of approximately 300,000 MMBtu/day.  The project is proposed to transport natural gas in interstate commerce on behalf of Pemex and others to serve markets in Mexico and in the general area of the project. </w:t>
      </w:r>
    </w:p>
    <w:p>
      <w:pPr>
        <w:pStyle w:val="Normal"/>
        <w:jc w:val="both"/>
        <w:rPr>
          <w:u w:val="single"/>
        </w:rPr>
      </w:pPr>
      <w:r>
        <w:rPr>
          <w:u w:val="single"/>
        </w:rPr>
      </w:r>
    </w:p>
    <w:p>
      <w:pPr>
        <w:pStyle w:val="Normal"/>
        <w:jc w:val="both"/>
        <w:rPr/>
      </w:pPr>
      <w:r>
        <w:rPr/>
        <w:t>17.</w:t>
        <w:tab/>
        <w:t>Calpine/South Point Power Plant I/C, located in Mohave County, Arizona.</w:t>
      </w:r>
    </w:p>
    <w:p>
      <w:pPr>
        <w:pStyle w:val="Normal"/>
        <w:ind w:start="720" w:end="0"/>
        <w:jc w:val="both"/>
        <w:rPr/>
      </w:pPr>
      <w:r>
        <w:rPr/>
        <w:t>Griffith Energy Power Plant I/C, located in Mohave County, Arizona.</w:t>
      </w:r>
    </w:p>
    <w:p>
      <w:pPr>
        <w:pStyle w:val="Normal"/>
        <w:jc w:val="both"/>
        <w:rPr>
          <w:u w:val="single"/>
        </w:rPr>
      </w:pPr>
      <w:r>
        <w:rPr>
          <w:u w:val="single"/>
        </w:rPr>
      </w:r>
    </w:p>
    <w:p>
      <w:pPr>
        <w:pStyle w:val="Normal"/>
        <w:jc w:val="both"/>
        <w:rPr/>
      </w:pPr>
      <w:r>
        <w:rPr/>
        <w:t>18.</w:t>
        <w:tab/>
        <w:t>Calpine and Griffith are connected to El Paso Natural Gas Company.</w:t>
      </w:r>
    </w:p>
    <w:p>
      <w:pPr>
        <w:pStyle w:val="Normal"/>
        <w:jc w:val="both"/>
        <w:rPr/>
      </w:pPr>
      <w:r>
        <w:rPr/>
      </w:r>
    </w:p>
    <w:p>
      <w:pPr>
        <w:pStyle w:val="Normal"/>
        <w:jc w:val="both"/>
        <w:rPr/>
      </w:pPr>
      <w:r>
        <w:rPr/>
        <w:t>19.</w:t>
        <w:tab/>
        <w:t>Natural gas deliveries to identified generating facilities (total MMBtu per month):</w:t>
      </w:r>
    </w:p>
    <w:p>
      <w:pPr>
        <w:pStyle w:val="Normal"/>
        <w:jc w:val="both"/>
        <w:rPr/>
      </w:pPr>
      <w:r>
        <w:rPr/>
      </w:r>
    </w:p>
    <w:p>
      <w:pPr>
        <w:pStyle w:val="Normal"/>
        <w:jc w:val="both"/>
        <w:rPr/>
      </w:pPr>
      <w:r>
        <w:rPr/>
        <w:tab/>
        <w:tab/>
        <w:tab/>
        <w:tab/>
      </w:r>
      <w:r>
        <w:rPr>
          <w:u w:val="single"/>
        </w:rPr>
        <w:t>Calpine</w:t>
      </w:r>
      <w:r>
        <w:rPr/>
        <w:tab/>
        <w:tab/>
      </w:r>
      <w:r>
        <w:rPr>
          <w:u w:val="single"/>
        </w:rPr>
        <w:t>Griffith</w:t>
      </w:r>
    </w:p>
    <w:p>
      <w:pPr>
        <w:pStyle w:val="Normal"/>
        <w:jc w:val="both"/>
        <w:rPr>
          <w:u w:val="single"/>
        </w:rPr>
      </w:pPr>
      <w:r>
        <w:rPr>
          <w:u w:val="single"/>
        </w:rPr>
      </w:r>
    </w:p>
    <w:p>
      <w:pPr>
        <w:pStyle w:val="Normal"/>
        <w:jc w:val="both"/>
        <w:rPr/>
      </w:pPr>
      <w:r>
        <w:rPr/>
        <w:tab/>
        <w:t>February 2001</w:t>
        <w:tab/>
        <w:tab/>
        <w:t xml:space="preserve">          537</w:t>
        <w:tab/>
        <w:tab/>
      </w:r>
    </w:p>
    <w:p>
      <w:pPr>
        <w:pStyle w:val="Normal"/>
        <w:jc w:val="both"/>
        <w:rPr/>
      </w:pPr>
      <w:r>
        <w:rPr/>
        <w:tab/>
        <w:t>March 2001</w:t>
        <w:tab/>
        <w:tab/>
        <w:t xml:space="preserve">     80,533</w:t>
      </w:r>
    </w:p>
    <w:p>
      <w:pPr>
        <w:pStyle w:val="Normal"/>
        <w:jc w:val="both"/>
        <w:rPr/>
      </w:pPr>
      <w:r>
        <w:rPr/>
        <w:tab/>
        <w:t>April 2001</w:t>
        <w:tab/>
        <w:tab/>
        <w:t xml:space="preserve">   819,833</w:t>
        <w:tab/>
        <w:tab/>
        <w:t xml:space="preserve">   174,124</w:t>
      </w:r>
    </w:p>
    <w:p>
      <w:pPr>
        <w:pStyle w:val="Normal"/>
        <w:jc w:val="both"/>
        <w:rPr/>
      </w:pPr>
      <w:r>
        <w:rPr/>
        <w:tab/>
        <w:t>May 2001</w:t>
        <w:tab/>
        <w:tab/>
        <w:t>1,443,069</w:t>
        <w:tab/>
        <w:tab/>
        <w:t xml:space="preserve">   248,972</w:t>
      </w:r>
    </w:p>
    <w:p>
      <w:pPr>
        <w:pStyle w:val="Normal"/>
        <w:jc w:val="both"/>
        <w:rPr/>
      </w:pPr>
      <w:r>
        <w:rPr/>
        <w:tab/>
        <w:t>June 2001</w:t>
        <w:tab/>
        <w:tab/>
        <w:t>1,584,593</w:t>
        <w:tab/>
        <w:tab/>
        <w:t>1,031,744</w:t>
      </w:r>
    </w:p>
    <w:p>
      <w:pPr>
        <w:pStyle w:val="Normal"/>
        <w:jc w:val="both"/>
        <w:rPr/>
      </w:pPr>
      <w:r>
        <w:rPr/>
        <w:tab/>
        <w:t>July 2001</w:t>
        <w:tab/>
        <w:tab/>
        <w:t>2,051,914</w:t>
        <w:tab/>
        <w:tab/>
        <w:t xml:space="preserve">     85,071</w:t>
      </w:r>
    </w:p>
    <w:p>
      <w:pPr>
        <w:pStyle w:val="Normal"/>
        <w:jc w:val="both"/>
        <w:rPr/>
      </w:pPr>
      <w:r>
        <w:rPr/>
        <w:tab/>
        <w:t>August 2001</w:t>
        <w:tab/>
        <w:tab/>
        <w:t>2,021,619</w:t>
        <w:tab/>
        <w:tab/>
        <w:t>1,123,235</w:t>
      </w:r>
    </w:p>
    <w:p>
      <w:pPr>
        <w:pStyle w:val="Normal"/>
        <w:jc w:val="both"/>
        <w:rPr/>
      </w:pPr>
      <w:r>
        <w:rPr/>
        <w:tab/>
        <w:t>September 2001</w:t>
        <w:tab/>
        <w:t>2,175,758</w:t>
        <w:tab/>
        <w:tab/>
        <w:t>1,006,977</w:t>
      </w:r>
    </w:p>
    <w:p>
      <w:pPr>
        <w:pStyle w:val="Normal"/>
        <w:jc w:val="both"/>
        <w:rPr/>
      </w:pPr>
      <w:r>
        <w:rPr/>
        <w:tab/>
        <w:t>October 2001</w:t>
        <w:tab/>
        <w:tab/>
        <w:t>1,830,497</w:t>
        <w:tab/>
        <w:tab/>
        <w:t>1,146,881</w:t>
      </w:r>
    </w:p>
    <w:p>
      <w:pPr>
        <w:pStyle w:val="Normal"/>
        <w:jc w:val="both"/>
        <w:rPr/>
      </w:pPr>
      <w:r>
        <w:rPr/>
      </w:r>
    </w:p>
    <w:p>
      <w:pPr>
        <w:pStyle w:val="BodyTextIndent2"/>
        <w:rPr/>
      </w:pPr>
      <w:r>
        <w:rPr/>
        <w:tab/>
        <w:t>(The Calpine and Griffith interconnects were not in-service until February, 2001 and April, 2001, respectively.)</w:t>
      </w:r>
    </w:p>
    <w:p>
      <w:pPr>
        <w:pStyle w:val="BodyTextIndent2"/>
        <w:rPr/>
      </w:pPr>
      <w:r>
        <w:rPr/>
      </w:r>
    </w:p>
    <w:p>
      <w:pPr>
        <w:pStyle w:val="Normal"/>
        <w:jc w:val="both"/>
        <w:rPr/>
      </w:pPr>
      <w:r>
        <w:rPr/>
        <w:t>20.</w:t>
        <w:tab/>
        <w:t>Not Applicable.</w:t>
      </w:r>
    </w:p>
    <w:p>
      <w:pPr>
        <w:pStyle w:val="Normal"/>
        <w:jc w:val="both"/>
        <w:rPr/>
      </w:pPr>
      <w:r>
        <w:rPr/>
      </w:r>
    </w:p>
    <w:p>
      <w:pPr>
        <w:pStyle w:val="Normal"/>
        <w:jc w:val="both"/>
        <w:rPr/>
      </w:pPr>
      <w:r>
        <w:rPr/>
        <w:t>21.</w:t>
        <w:tab/>
        <w:t>Caithness/Big Sandy Power Plant, proposed location in Mohave County, Arizona.</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jc w:val="both"/>
    </w:pPr>
    <w:rPr/>
  </w:style>
  <w:style w:type="paragraph" w:styleId="BodyTextIndent2">
    <w:name w:val="Body Text Indent 2"/>
    <w:basedOn w:val="Normal"/>
    <w:qFormat/>
    <w:pPr>
      <w:ind w:hanging="720" w:start="7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2001-11-27T16:45:00Z</dcterms:created>
  <dc:creator>ldonoho</dc:creator>
  <dc:description/>
  <dc:language>en-CA</dc:language>
  <cp:lastModifiedBy>ldonoho</cp:lastModifiedBy>
  <dcterms:modified xsi:type="dcterms:W3CDTF">2001-11-27T20:00:00Z</dcterms:modified>
  <cp:revision>16</cp:revision>
  <dc:subject/>
  <dc:title>Privileged and Confidential</dc:title>
</cp:coreProperties>
</file>