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Verdana" w:hAnsi="Verdana" w:eastAsia="Arial Unicode MS;Tahoma" w:cs="Arial Unicode MS;Tahoma"/>
          <w:color w:val="999999"/>
          <w:sz w:val="15"/>
          <w:szCs w:val="15"/>
        </w:rPr>
      </w:pPr>
      <w:r>
        <w:rPr>
          <w:rFonts w:cs="Verdana" w:ascii="Verdana" w:hAnsi="Verdana"/>
          <w:b/>
          <w:bCs/>
          <w:color w:val="CC0033"/>
          <w:sz w:val="20"/>
          <w:szCs w:val="20"/>
        </w:rPr>
        <w:t>Face value</w:t>
      </w:r>
      <w:r>
        <w:rPr/>
        <w:t xml:space="preserve"> </w:t>
        <w:br/>
        <w:br/>
      </w:r>
      <w:r>
        <w:rPr>
          <w:rFonts w:cs="Verdana" w:ascii="Verdana" w:hAnsi="Verdana"/>
          <w:b/>
          <w:bCs/>
          <w:sz w:val="27"/>
          <w:szCs w:val="27"/>
        </w:rPr>
        <w:t>The tortoise who triumphed</w:t>
      </w:r>
    </w:p>
    <w:p>
      <w:pPr>
        <w:pStyle w:val="Normal"/>
        <w:rPr>
          <w:rFonts w:ascii="Verdana" w:hAnsi="Verdana" w:cs="Verdana"/>
          <w:color w:val="999999"/>
          <w:sz w:val="15"/>
          <w:szCs w:val="15"/>
        </w:rPr>
      </w:pPr>
      <w:r>
        <w:rPr>
          <w:rFonts w:cs="Verdana" w:ascii="Verdana" w:hAnsi="Verdana"/>
          <w:color w:val="999999"/>
          <w:sz w:val="15"/>
          <w:szCs w:val="15"/>
        </w:rPr>
        <w:t xml:space="preserve">Nov 15th 2001 </w:t>
        <w:br/>
        <w:t>From The Economist print edition</w:t>
      </w:r>
    </w:p>
    <w:p>
      <w:pPr>
        <w:pStyle w:val="Normal"/>
        <w:rPr>
          <w:rFonts w:ascii="Arial Unicode MS;Tahoma" w:hAnsi="Arial Unicode MS;Tahoma" w:cs="Arial Unicode MS;Tahoma"/>
          <w:sz w:val="24"/>
        </w:rPr>
      </w:pPr>
      <w:r>
        <w:rPr>
          <w:rFonts w:cs="Arial Unicode MS;Tahoma" w:ascii="Arial Unicode MS;Tahoma" w:hAnsi="Arial Unicode MS;Tahoma"/>
          <w:sz w:val="24"/>
        </w:rPr>
        <w:br/>
        <w:br/>
      </w:r>
      <w:r>
        <w:rPr>
          <w:rFonts w:cs="Arial Unicode MS;Tahoma" w:ascii="Arial Unicode MS;Tahoma" w:hAnsi="Arial Unicode MS;Tahoma"/>
          <w:b/>
          <w:bCs/>
          <w:sz w:val="24"/>
          <w:szCs w:val="20"/>
        </w:rPr>
        <w:t>Chuck Watson needs to sell Enron's worst businesses and learn from its best ones</w:t>
      </w:r>
    </w:p>
    <w:tbl>
      <w:tblPr>
        <w:tblW w:w="3900" w:type="dxa"/>
        <w:jc w:val="start"/>
        <w:tblInd w:w="-75" w:type="dxa"/>
        <w:tblLayout w:type="fixed"/>
        <w:tblCellMar>
          <w:top w:w="0" w:type="dxa"/>
          <w:start w:w="0" w:type="dxa"/>
          <w:bottom w:w="0" w:type="dxa"/>
          <w:end w:w="0" w:type="dxa"/>
        </w:tblCellMar>
      </w:tblPr>
      <w:tblGrid>
        <w:gridCol w:w="3900"/>
      </w:tblGrid>
      <w:tr>
        <w:trPr/>
        <w:tc>
          <w:tcPr>
            <w:tcW w:w="3900" w:type="dxa"/>
            <w:tcBorders/>
          </w:tcPr>
          <w:p>
            <w:pPr>
              <w:pStyle w:val="Normal"/>
              <w:snapToGrid w:val="false"/>
              <w:rPr/>
            </w:pPr>
            <w:r>
              <w:rPr/>
            </w:r>
          </w:p>
        </w:tc>
      </w:tr>
    </w:tbl>
    <w:tbl>
      <w:tblPr>
        <w:tblpPr w:vertAnchor="text" w:tblpYSpec="center" w:horzAnchor="text" w:tblpXSpec="right"/>
        <w:tblW w:w="3900" w:type="dxa"/>
        <w:jc w:val="start"/>
        <w:tblInd w:w="0" w:type="dxa"/>
        <w:tblLayout w:type="fixed"/>
        <w:tblCellMar>
          <w:top w:w="0" w:type="dxa"/>
          <w:start w:w="0" w:type="dxa"/>
          <w:bottom w:w="0" w:type="dxa"/>
          <w:end w:w="0" w:type="dxa"/>
        </w:tblCellMar>
      </w:tblPr>
      <w:tblGrid>
        <w:gridCol w:w="3900"/>
      </w:tblGrid>
      <w:tr>
        <w:trPr/>
        <w:tc>
          <w:tcPr>
            <w:tcW w:w="3900" w:type="dxa"/>
            <w:tcBorders/>
          </w:tcPr>
          <w:p>
            <w:pPr>
              <w:pStyle w:val="Normal"/>
              <w:snapToGrid w:val="false"/>
              <w:rPr>
                <w:rFonts w:ascii="Arial Unicode MS;Tahoma" w:hAnsi="Arial Unicode MS;Tahoma" w:eastAsia="Arial Unicode MS;Tahoma" w:cs="Arial Unicode MS;Tahoma"/>
                <w:sz w:val="24"/>
              </w:rPr>
            </w:pPr>
            <w:r>
              <w:rPr>
                <w:rFonts w:eastAsia="Arial Unicode MS;Tahoma" w:cs="Arial Unicode MS;Tahoma" w:ascii="Arial Unicode MS;Tahoma" w:hAnsi="Arial Unicode MS;Tahoma"/>
                <w:sz w:val="24"/>
              </w:rPr>
            </w:r>
          </w:p>
          <w:tbl>
            <w:tblPr>
              <w:tblpPr w:vertAnchor="text" w:tblpYSpec="center" w:horzAnchor="text" w:tblpXSpec="right"/>
              <w:tblW w:w="5000" w:type="pct"/>
              <w:jc w:val="start"/>
              <w:tblInd w:w="0" w:type="dxa"/>
              <w:tblLayout w:type="fixed"/>
              <w:tblCellMar>
                <w:top w:w="0" w:type="dxa"/>
                <w:start w:w="0" w:type="dxa"/>
                <w:bottom w:w="0" w:type="dxa"/>
                <w:end w:w="0" w:type="dxa"/>
              </w:tblCellMar>
            </w:tblPr>
            <w:tblGrid>
              <w:gridCol w:w="110"/>
            </w:tblGrid>
            <w:tr>
              <w:trPr/>
              <w:tc>
                <w:tcPr>
                  <w:tcW w:w="110" w:type="dxa"/>
                  <w:tcBorders/>
                </w:tcPr>
                <w:p>
                  <w:pPr>
                    <w:pStyle w:val="Normal"/>
                    <w:snapToGrid w:val="false"/>
                    <w:rPr>
                      <w:color w:val="000000"/>
                      <w:sz w:val="20"/>
                      <w:szCs w:val="20"/>
                    </w:rPr>
                  </w:pPr>
                  <w:r>
                    <w:rPr>
                      <w:color w:val="000000"/>
                      <w:sz w:val="20"/>
                      <w:szCs w:val="20"/>
                    </w:rPr>
                  </w:r>
                </w:p>
              </w:tc>
            </w:tr>
            <w:tr>
              <w:trPr/>
              <w:tc>
                <w:tcPr>
                  <w:tcW w:w="110" w:type="dxa"/>
                  <w:tcBorders/>
                </w:tcPr>
                <w:p>
                  <w:pPr>
                    <w:pStyle w:val="Normal"/>
                    <w:snapToGrid w:val="false"/>
                    <w:rPr>
                      <w:color w:val="000000"/>
                      <w:sz w:val="20"/>
                      <w:szCs w:val="20"/>
                    </w:rPr>
                  </w:pPr>
                  <w:r>
                    <w:rPr>
                      <w:color w:val="000000"/>
                      <w:sz w:val="20"/>
                      <w:szCs w:val="20"/>
                    </w:rPr>
                  </w:r>
                </w:p>
              </w:tc>
            </w:tr>
          </w:tbl>
          <w:p>
            <w:pPr>
              <w:pStyle w:val="Normal"/>
              <w:rPr>
                <w:rFonts w:ascii="Arial Unicode MS;Tahoma" w:hAnsi="Arial Unicode MS;Tahoma" w:eastAsia="Arial Unicode MS;Tahoma" w:cs="Arial Unicode MS;Tahoma"/>
                <w:sz w:val="24"/>
              </w:rPr>
            </w:pPr>
            <w:r>
              <w:rPr>
                <w:rFonts w:eastAsia="Arial Unicode MS;Tahoma" w:cs="Arial Unicode MS;Tahoma" w:ascii="Arial Unicode MS;Tahoma" w:hAnsi="Arial Unicode MS;Tahoma"/>
                <w:sz w:val="24"/>
              </w:rPr>
            </w:r>
          </w:p>
        </w:tc>
      </w:tr>
      <w:tr>
        <w:trPr/>
        <w:tc>
          <w:tcPr>
            <w:tcW w:w="3900" w:type="dxa"/>
            <w:tcBorders/>
            <w:vAlign w:val="bottom"/>
          </w:tcPr>
          <w:p>
            <w:pPr>
              <w:pStyle w:val="Normal"/>
              <w:rPr>
                <w:rFonts w:ascii="Arial Unicode MS;Tahoma" w:hAnsi="Arial Unicode MS;Tahoma" w:eastAsia="Arial Unicode MS;Tahoma" w:cs="Arial Unicode MS;Tahoma"/>
                <w:sz w:val="24"/>
              </w:rPr>
            </w:pPr>
            <w:r>
              <w:rPr/>
              <w:drawing>
                <wp:inline distT="0" distB="0" distL="0" distR="0">
                  <wp:extent cx="2381250" cy="1695450"/>
                  <wp:effectExtent l="0" t="0" r="0" b="0"/>
                  <wp:docPr id="1" name="4601WB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601WB0" descr="" title=""/>
                          <pic:cNvPicPr>
                            <a:picLocks noChangeAspect="1" noChangeArrowheads="1"/>
                          </pic:cNvPicPr>
                        </pic:nvPicPr>
                        <pic:blipFill>
                          <a:blip r:embed="rId2"/>
                          <a:srcRect l="-15" t="-21" r="-15" b="-21"/>
                          <a:stretch>
                            <a:fillRect/>
                          </a:stretch>
                        </pic:blipFill>
                        <pic:spPr bwMode="auto">
                          <a:xfrm>
                            <a:off x="0" y="0"/>
                            <a:ext cx="2381250" cy="1695450"/>
                          </a:xfrm>
                          <a:prstGeom prst="rect">
                            <a:avLst/>
                          </a:prstGeom>
                          <a:noFill/>
                        </pic:spPr>
                      </pic:pic>
                    </a:graphicData>
                  </a:graphic>
                </wp:inline>
              </w:drawing>
            </w:r>
          </w:p>
        </w:tc>
      </w:tr>
      <w:tr>
        <w:trPr/>
        <w:tc>
          <w:tcPr>
            <w:tcW w:w="3900" w:type="dxa"/>
            <w:tcBorders/>
          </w:tcPr>
          <w:p>
            <w:pPr>
              <w:pStyle w:val="Normal"/>
              <w:snapToGrid w:val="false"/>
              <w:rPr>
                <w:rFonts w:ascii="Arial Unicode MS;Tahoma" w:hAnsi="Arial Unicode MS;Tahoma" w:eastAsia="Arial Unicode MS;Tahoma" w:cs="Arial Unicode MS;Tahoma"/>
                <w:color w:val="000000"/>
                <w:sz w:val="24"/>
                <w:szCs w:val="20"/>
              </w:rPr>
            </w:pPr>
            <w:r>
              <w:rPr>
                <w:rFonts w:eastAsia="Arial Unicode MS;Tahoma" w:cs="Arial Unicode MS;Tahoma" w:ascii="Arial Unicode MS;Tahoma" w:hAnsi="Arial Unicode MS;Tahoma"/>
                <w:color w:val="000000"/>
                <w:sz w:val="24"/>
                <w:szCs w:val="20"/>
              </w:rPr>
            </w:r>
          </w:p>
        </w:tc>
      </w:tr>
    </w:tbl>
    <w:p>
      <w:pPr>
        <w:pStyle w:val="NormalWeb"/>
        <w:rPr>
          <w:rFonts w:ascii="Verdana" w:hAnsi="Verdana" w:cs="Verdana"/>
          <w:sz w:val="20"/>
          <w:szCs w:val="20"/>
        </w:rPr>
      </w:pPr>
      <w:r>
        <w:rPr>
          <w:rFonts w:cs="Verdana" w:ascii="Verdana" w:hAnsi="Verdana"/>
          <w:sz w:val="20"/>
          <w:szCs w:val="20"/>
        </w:rPr>
        <w:t xml:space="preserve">JIMMY CARTER must be one of only a few people who can truly appreciate the exhilaration that Chuck Watson feels today. Twenty-five years ago, Mr Carter famously arrived at the White House on foot—not riding in the fancy limousine that tradition dictated. This week it was Mr Watson, another cautious but clever southerner, who was catapulted against all expectations to the pinnacle of power in his chosen field—and once again the underdog got there by humble means. </w:t>
      </w:r>
    </w:p>
    <w:p>
      <w:pPr>
        <w:pStyle w:val="NormalWeb"/>
        <w:rPr>
          <w:rFonts w:ascii="Verdana" w:hAnsi="Verdana" w:cs="Verdana"/>
          <w:sz w:val="20"/>
          <w:szCs w:val="20"/>
        </w:rPr>
      </w:pPr>
      <w:r>
        <w:rPr>
          <w:rFonts w:cs="Verdana" w:ascii="Verdana" w:hAnsi="Verdana"/>
          <w:sz w:val="20"/>
          <w:szCs w:val="20"/>
        </w:rPr>
        <w:t>Mr Watson is the boss of Dynegy, an energy-trading and marketing firm based in Houston. A decade and a half ago, at the dawn of energy deregulation in America, this former Conoco man joined with half a dozen friends to create a natural-gas firm that later became Dynegy. But almost ever since, his firm has been overshadowed by a far bigger rival based just down the road in Houston: the respected (but seldom loved) Enron.</w:t>
      </w:r>
    </w:p>
    <w:p>
      <w:pPr>
        <w:pStyle w:val="NormalWeb"/>
        <w:rPr>
          <w:rFonts w:ascii="Verdana" w:hAnsi="Verdana" w:cs="Verdana"/>
          <w:sz w:val="20"/>
          <w:szCs w:val="20"/>
        </w:rPr>
      </w:pPr>
      <w:r>
        <w:rPr>
          <w:rFonts w:cs="Verdana" w:ascii="Verdana" w:hAnsi="Verdana"/>
          <w:sz w:val="20"/>
          <w:szCs w:val="20"/>
        </w:rPr>
        <w:t>Over the years, both companies have profited handsomely from the liberalisation of wholesale electricity and gas markets. However, a cursory glance at the huge gap in sales and (until recently) stockmarket valuations might suggest that Enron's visionary chairman, Kenneth Lay, was surging ahead in a turbocharged Ferrari, while Mr Watson chugged along some way behind in an old banger. Yet, in what must surely be one of the most dramatic reversals of fortune among arch-rivals in any industry anywhere, it is Dynegy that now plans to take over Enron—the equivalent of Pepsi swallowing Coca-Cola.</w:t>
      </w:r>
    </w:p>
    <w:p>
      <w:pPr>
        <w:pStyle w:val="NormalWeb"/>
        <w:rPr>
          <w:rFonts w:ascii="Verdana" w:hAnsi="Verdana" w:cs="Verdana"/>
          <w:sz w:val="20"/>
          <w:szCs w:val="20"/>
        </w:rPr>
      </w:pPr>
      <w:r>
        <w:rPr>
          <w:rFonts w:cs="Verdana" w:ascii="Verdana" w:hAnsi="Verdana"/>
          <w:sz w:val="20"/>
          <w:szCs w:val="20"/>
        </w:rPr>
        <w:t>How did this happen? The short answer is that a financial crisis has engulfed Enron in recent weeks. At its centre is a web of murky limited partnerships and private-equity investments. With the firm's opaque finances pushing it to the brink of bankruptcy, Dynegy came riding to the rescue on November 9th, producing an all-share deal valued at around $10 billion. Crucially, it brings with it $2.5 billion in fresh money from Chevron Texaco, an oil major that owns nearly a third of Dynegy. That infusion, and the credibility that comes with the backing of Dynegy and its rich uncle, just might be enough to keep Enron from going bust.</w:t>
      </w:r>
    </w:p>
    <w:tbl>
      <w:tblPr>
        <w:tblW w:w="3900" w:type="dxa"/>
        <w:jc w:val="start"/>
        <w:tblInd w:w="-75" w:type="dxa"/>
        <w:tblLayout w:type="fixed"/>
        <w:tblCellMar>
          <w:top w:w="0" w:type="dxa"/>
          <w:start w:w="0" w:type="dxa"/>
          <w:bottom w:w="0" w:type="dxa"/>
          <w:end w:w="0" w:type="dxa"/>
        </w:tblCellMar>
      </w:tblPr>
      <w:tblGrid>
        <w:gridCol w:w="3900"/>
      </w:tblGrid>
      <w:tr>
        <w:trPr/>
        <w:tc>
          <w:tcPr>
            <w:tcW w:w="3900" w:type="dxa"/>
            <w:tcBorders/>
          </w:tcPr>
          <w:p>
            <w:pPr>
              <w:pStyle w:val="Normal"/>
              <w:snapToGrid w:val="false"/>
              <w:rPr/>
            </w:pPr>
            <w:r>
              <w:rPr/>
            </w:r>
          </w:p>
        </w:tc>
      </w:tr>
    </w:tbl>
    <w:tbl>
      <w:tblPr>
        <w:tblpPr w:vertAnchor="text" w:tblpYSpec="center" w:horzAnchor="text" w:tblpXSpec="right"/>
        <w:tblW w:w="3900" w:type="dxa"/>
        <w:jc w:val="start"/>
        <w:tblInd w:w="0" w:type="dxa"/>
        <w:tblLayout w:type="fixed"/>
        <w:tblCellMar>
          <w:top w:w="0" w:type="dxa"/>
          <w:start w:w="0" w:type="dxa"/>
          <w:bottom w:w="0" w:type="dxa"/>
          <w:end w:w="0" w:type="dxa"/>
        </w:tblCellMar>
      </w:tblPr>
      <w:tblGrid>
        <w:gridCol w:w="3900"/>
      </w:tblGrid>
      <w:tr>
        <w:trPr/>
        <w:tc>
          <w:tcPr>
            <w:tcW w:w="3900" w:type="dxa"/>
            <w:tcBorders/>
          </w:tcPr>
          <w:p>
            <w:pPr>
              <w:pStyle w:val="Normal"/>
              <w:snapToGrid w:val="false"/>
              <w:rPr>
                <w:rFonts w:ascii="Arial Unicode MS;Tahoma" w:hAnsi="Arial Unicode MS;Tahoma" w:eastAsia="Arial Unicode MS;Tahoma" w:cs="Arial Unicode MS;Tahoma"/>
                <w:sz w:val="24"/>
              </w:rPr>
            </w:pPr>
            <w:r>
              <w:rPr>
                <w:rFonts w:eastAsia="Arial Unicode MS;Tahoma" w:cs="Arial Unicode MS;Tahoma" w:ascii="Arial Unicode MS;Tahoma" w:hAnsi="Arial Unicode MS;Tahoma"/>
                <w:sz w:val="24"/>
              </w:rPr>
            </w:r>
          </w:p>
          <w:tbl>
            <w:tblPr>
              <w:tblpPr w:vertAnchor="text" w:tblpYSpec="center" w:horzAnchor="text" w:tblpXSpec="right"/>
              <w:tblW w:w="5000" w:type="pct"/>
              <w:jc w:val="start"/>
              <w:tblInd w:w="0" w:type="dxa"/>
              <w:tblLayout w:type="fixed"/>
              <w:tblCellMar>
                <w:top w:w="0" w:type="dxa"/>
                <w:start w:w="0" w:type="dxa"/>
                <w:bottom w:w="0" w:type="dxa"/>
                <w:end w:w="0" w:type="dxa"/>
              </w:tblCellMar>
            </w:tblPr>
            <w:tblGrid>
              <w:gridCol w:w="110"/>
            </w:tblGrid>
            <w:tr>
              <w:trPr/>
              <w:tc>
                <w:tcPr>
                  <w:tcW w:w="110" w:type="dxa"/>
                  <w:tcBorders/>
                </w:tcPr>
                <w:p>
                  <w:pPr>
                    <w:pStyle w:val="Normal"/>
                    <w:snapToGrid w:val="false"/>
                    <w:rPr>
                      <w:color w:val="000000"/>
                      <w:sz w:val="20"/>
                      <w:szCs w:val="20"/>
                    </w:rPr>
                  </w:pPr>
                  <w:r>
                    <w:rPr>
                      <w:color w:val="000000"/>
                      <w:sz w:val="20"/>
                      <w:szCs w:val="20"/>
                    </w:rPr>
                  </w:r>
                </w:p>
              </w:tc>
            </w:tr>
            <w:tr>
              <w:trPr/>
              <w:tc>
                <w:tcPr>
                  <w:tcW w:w="110" w:type="dxa"/>
                  <w:tcBorders/>
                </w:tcPr>
                <w:p>
                  <w:pPr>
                    <w:pStyle w:val="Normal"/>
                    <w:snapToGrid w:val="false"/>
                    <w:rPr>
                      <w:color w:val="000000"/>
                      <w:sz w:val="20"/>
                      <w:szCs w:val="20"/>
                    </w:rPr>
                  </w:pPr>
                  <w:r>
                    <w:rPr>
                      <w:color w:val="000000"/>
                      <w:sz w:val="20"/>
                      <w:szCs w:val="20"/>
                    </w:rPr>
                  </w:r>
                </w:p>
              </w:tc>
            </w:tr>
          </w:tbl>
          <w:p>
            <w:pPr>
              <w:pStyle w:val="Normal"/>
              <w:rPr>
                <w:rFonts w:ascii="Arial Unicode MS;Tahoma" w:hAnsi="Arial Unicode MS;Tahoma" w:eastAsia="Arial Unicode MS;Tahoma" w:cs="Arial Unicode MS;Tahoma"/>
                <w:sz w:val="24"/>
              </w:rPr>
            </w:pPr>
            <w:r>
              <w:rPr>
                <w:rFonts w:eastAsia="Arial Unicode MS;Tahoma" w:cs="Arial Unicode MS;Tahoma" w:ascii="Arial Unicode MS;Tahoma" w:hAnsi="Arial Unicode MS;Tahoma"/>
                <w:sz w:val="24"/>
              </w:rPr>
            </w:r>
          </w:p>
        </w:tc>
      </w:tr>
      <w:tr>
        <w:trPr/>
        <w:tc>
          <w:tcPr>
            <w:tcW w:w="3900" w:type="dxa"/>
            <w:tcBorders/>
            <w:vAlign w:val="bottom"/>
          </w:tcPr>
          <w:p>
            <w:pPr>
              <w:pStyle w:val="Normal"/>
              <w:rPr>
                <w:rFonts w:ascii="Arial Unicode MS;Tahoma" w:hAnsi="Arial Unicode MS;Tahoma" w:eastAsia="Arial Unicode MS;Tahoma" w:cs="Arial Unicode MS;Tahoma"/>
                <w:sz w:val="24"/>
              </w:rPr>
            </w:pPr>
            <w:r>
              <w:rPr/>
              <w:drawing>
                <wp:inline distT="0" distB="0" distL="0" distR="0">
                  <wp:extent cx="2381250" cy="2352675"/>
                  <wp:effectExtent l="0" t="0" r="0" b="0"/>
                  <wp:docPr id="2" name="CWB83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WB832" descr="" title=""/>
                          <pic:cNvPicPr>
                            <a:picLocks noChangeAspect="1" noChangeArrowheads="1"/>
                          </pic:cNvPicPr>
                        </pic:nvPicPr>
                        <pic:blipFill>
                          <a:blip r:embed="rId3"/>
                          <a:srcRect l="-15" t="-15" r="-15" b="-15"/>
                          <a:stretch>
                            <a:fillRect/>
                          </a:stretch>
                        </pic:blipFill>
                        <pic:spPr bwMode="auto">
                          <a:xfrm>
                            <a:off x="0" y="0"/>
                            <a:ext cx="2381250" cy="2352675"/>
                          </a:xfrm>
                          <a:prstGeom prst="rect">
                            <a:avLst/>
                          </a:prstGeom>
                          <a:noFill/>
                        </pic:spPr>
                      </pic:pic>
                    </a:graphicData>
                  </a:graphic>
                </wp:inline>
              </w:drawing>
            </w:r>
          </w:p>
        </w:tc>
      </w:tr>
      <w:tr>
        <w:trPr/>
        <w:tc>
          <w:tcPr>
            <w:tcW w:w="3900" w:type="dxa"/>
            <w:tcBorders/>
          </w:tcPr>
          <w:p>
            <w:pPr>
              <w:pStyle w:val="Normal"/>
              <w:snapToGrid w:val="false"/>
              <w:rPr>
                <w:rFonts w:ascii="Arial Unicode MS;Tahoma" w:hAnsi="Arial Unicode MS;Tahoma" w:eastAsia="Arial Unicode MS;Tahoma" w:cs="Arial Unicode MS;Tahoma"/>
                <w:color w:val="000000"/>
                <w:sz w:val="24"/>
                <w:szCs w:val="20"/>
              </w:rPr>
            </w:pPr>
            <w:r>
              <w:rPr>
                <w:rFonts w:eastAsia="Arial Unicode MS;Tahoma" w:cs="Arial Unicode MS;Tahoma" w:ascii="Arial Unicode MS;Tahoma" w:hAnsi="Arial Unicode MS;Tahoma"/>
                <w:color w:val="000000"/>
                <w:sz w:val="24"/>
                <w:szCs w:val="20"/>
              </w:rPr>
            </w:r>
          </w:p>
        </w:tc>
      </w:tr>
    </w:tbl>
    <w:p>
      <w:pPr>
        <w:pStyle w:val="NormalWeb"/>
        <w:rPr>
          <w:rFonts w:ascii="Verdana" w:hAnsi="Verdana" w:cs="Verdana"/>
          <w:sz w:val="20"/>
          <w:szCs w:val="20"/>
        </w:rPr>
      </w:pPr>
      <w:r>
        <w:rPr>
          <w:rFonts w:cs="Verdana" w:ascii="Verdana" w:hAnsi="Verdana"/>
          <w:sz w:val="20"/>
          <w:szCs w:val="20"/>
        </w:rPr>
        <w:t>Why did Mr Watson forge ahead where other investors (including Warren Buffett) feared to tread? “We were one of the few that could really understand what exactly they [Enron] were doing,” he explains. Because Dynegy is so familiar with Enron's business (it is a big user of Enron's pipelines, for example), Mr Watson claims that he was able to spot the opportunity of a lifetime in what everybody else sees as a financial black hole.</w:t>
      </w:r>
    </w:p>
    <w:p>
      <w:pPr>
        <w:pStyle w:val="NormalWeb"/>
        <w:rPr>
          <w:rFonts w:ascii="Verdana" w:hAnsi="Verdana" w:cs="Verdana"/>
          <w:sz w:val="20"/>
          <w:szCs w:val="20"/>
        </w:rPr>
      </w:pPr>
      <w:r>
        <w:rPr>
          <w:rFonts w:cs="Verdana" w:ascii="Verdana" w:hAnsi="Verdana"/>
          <w:sz w:val="20"/>
          <w:szCs w:val="20"/>
        </w:rPr>
        <w:t>He reckons he can see clearly through the “noise” that frightens others away. Far from being flawed, he argues, the deregulation-inspired model that has driven Enron's (and Dynegy's) growth is still sound. In his view, Enron's problems are not related to its hugely successful businesses in gas and power. He has “looked under the hood” and found that Enron “might need a new paint job and some new tyres, but its engine is sound.”</w:t>
      </w:r>
    </w:p>
    <w:p>
      <w:pPr>
        <w:pStyle w:val="NormalWeb"/>
        <w:rPr>
          <w:rFonts w:ascii="Verdana" w:hAnsi="Verdana" w:cs="Verdana"/>
          <w:sz w:val="20"/>
          <w:szCs w:val="20"/>
        </w:rPr>
      </w:pPr>
      <w:r>
        <w:rPr>
          <w:rFonts w:cs="Verdana" w:ascii="Verdana" w:hAnsi="Verdana"/>
          <w:sz w:val="20"/>
          <w:szCs w:val="20"/>
        </w:rPr>
        <w:t>His strategy for Enron (which will be fused completely into Dynegy) is to re-tune that engine, while junking much of the rest. He is convinced that Enron's mistake was to siphon cash from its core energy business into risky new ventures in areas in which it did not have expertise or even, in some cases, any hard assets—water, broadband, paper and pulp, weather derivatives and so on. These businesses may now be sold. Mr Watson says Dynegy has to assume that they are all of “no value”.</w:t>
      </w:r>
    </w:p>
    <w:p>
      <w:pPr>
        <w:pStyle w:val="Normal"/>
        <w:rPr/>
      </w:pPr>
      <w:r>
        <w:rPr/>
        <w:br w:type="textWrapping" w:clear="all"/>
      </w:r>
    </w:p>
    <w:p>
      <w:pPr>
        <w:pStyle w:val="Normal"/>
        <w:rPr>
          <w:rFonts w:ascii="Verdana" w:hAnsi="Verdana" w:cs="Verdana"/>
          <w:b/>
          <w:bCs/>
        </w:rPr>
      </w:pPr>
      <w:r>
        <w:rPr>
          <w:rFonts w:cs="Verdana" w:ascii="Verdana" w:hAnsi="Verdana"/>
          <w:b/>
          <w:bCs/>
        </w:rPr>
        <w:t>Pipe bomb</w:t>
      </w:r>
    </w:p>
    <w:p>
      <w:pPr>
        <w:pStyle w:val="NormalWeb"/>
        <w:rPr>
          <w:rFonts w:ascii="Verdana" w:hAnsi="Verdana" w:cs="Verdana"/>
          <w:sz w:val="20"/>
          <w:szCs w:val="20"/>
        </w:rPr>
      </w:pPr>
      <w:r>
        <w:rPr>
          <w:rFonts w:cs="Verdana" w:ascii="Verdana" w:hAnsi="Verdana"/>
          <w:sz w:val="20"/>
          <w:szCs w:val="20"/>
        </w:rPr>
        <w:t>Several things could yet derail Mr Watson's ambitions. Antitrust regulators may yet block the deal: the combined firm will dominate the gas-trading market, for instance. More worryingly, losses at Enron may be bigger than is evident so far. To protect his shareholders, Mr Watson has written some provisions into the takeover pact that allow him to back out if liabilities turn out to be shockingly big. But these are not as strong as some would like—and in any case they would not help if some of Enron's devious financing structures exploded after the deal is consummated.</w:t>
      </w:r>
    </w:p>
    <w:p>
      <w:pPr>
        <w:pStyle w:val="NormalWeb"/>
        <w:rPr>
          <w:rFonts w:ascii="Verdana" w:hAnsi="Verdana" w:cs="Verdana"/>
          <w:sz w:val="20"/>
          <w:szCs w:val="20"/>
        </w:rPr>
      </w:pPr>
      <w:r>
        <w:rPr>
          <w:rFonts w:cs="Verdana" w:ascii="Verdana" w:hAnsi="Verdana"/>
          <w:sz w:val="20"/>
          <w:szCs w:val="20"/>
        </w:rPr>
        <w:t>Then there is strategy. Salvaging Enron's worthwhile bits and running them prudently is fine as far as it goes. However, this is unlikely to deliver the sort of rapid growth that has been promised to shareholders to justify the deal. Not all analysts are persuaded by Dynegy's claim that it could boost profits by 15-20% a year over the next three years.</w:t>
      </w:r>
    </w:p>
    <w:p>
      <w:pPr>
        <w:pStyle w:val="NormalWeb"/>
        <w:rPr>
          <w:rFonts w:ascii="Verdana" w:hAnsi="Verdana" w:cs="Verdana"/>
          <w:sz w:val="20"/>
          <w:szCs w:val="20"/>
        </w:rPr>
      </w:pPr>
      <w:r>
        <w:rPr>
          <w:rFonts w:cs="Verdana" w:ascii="Verdana" w:hAnsi="Verdana"/>
          <w:sz w:val="20"/>
          <w:szCs w:val="20"/>
        </w:rPr>
        <w:t xml:space="preserve">Dynegy may also struggle to keep Enron's energy business intact. The vultures are already circling. The Intercontinental Exchange, a commodities exchange that was a big rival to Enron's industry-leading Internet trading platform, boasted that this week was its best ever thanks to “the uncertainty that has been exhibited in several key energy-trading venues.” And many customers who have shied away from Enron in recent weeks are being actively courted by rivals, who will accelerate their efforts to grab market share during the months needed to finalise the takeover. </w:t>
      </w:r>
    </w:p>
    <w:p>
      <w:pPr>
        <w:pStyle w:val="NormalWeb"/>
        <w:rPr>
          <w:rFonts w:ascii="Verdana" w:hAnsi="Verdana" w:cs="Verdana"/>
          <w:sz w:val="20"/>
          <w:szCs w:val="20"/>
        </w:rPr>
      </w:pPr>
      <w:r>
        <w:rPr>
          <w:rFonts w:cs="Verdana" w:ascii="Verdana" w:hAnsi="Verdana"/>
          <w:sz w:val="20"/>
          <w:szCs w:val="20"/>
        </w:rPr>
        <w:t>This points to the trickiest challenge facing Mr Watson: how to stop Enron's army of talented but cocksure traders from defecting. He is aware of the scale of the task. After all, Dynegy's corporate mantra is “We Believe in People”. Even so, hundreds of Enron résumés are already doing the rounds.</w:t>
      </w:r>
    </w:p>
    <w:p>
      <w:pPr>
        <w:pStyle w:val="NormalWeb"/>
        <w:rPr>
          <w:rFonts w:ascii="Verdana" w:hAnsi="Verdana" w:cs="Verdana"/>
          <w:sz w:val="20"/>
          <w:szCs w:val="20"/>
        </w:rPr>
      </w:pPr>
      <w:r>
        <w:rPr>
          <w:rFonts w:cs="Verdana" w:ascii="Verdana" w:hAnsi="Verdana"/>
          <w:sz w:val="20"/>
          <w:szCs w:val="20"/>
        </w:rPr>
        <w:t>That is why Mr Watson—a self-professed “conservative old fart”—will need something more than the prudence and perseverance that have served him so well until now, if he is to succeed in creating a Super-Dynegy rather than an Enron-Lite. He must infuse the new company with the creativity, intellectual audacity and sheer imagination that represented Enron at its best—while steering clear of those financial shenanigans that ultimately sank it</w:t>
      </w:r>
    </w:p>
    <w:p>
      <w:pPr>
        <w:pStyle w:val="Normal"/>
        <w:rPr/>
      </w:pPr>
      <w:r>
        <w:rPr/>
      </w:r>
    </w:p>
    <w:p>
      <w:pPr>
        <w:pStyle w:val="Normal"/>
        <w:rPr>
          <w:rFonts w:ascii="Verdana" w:hAnsi="Verdana" w:eastAsia="Arial Unicode MS;Tahoma" w:cs="Arial Unicode MS;Tahoma"/>
          <w:color w:val="999999"/>
          <w:sz w:val="15"/>
          <w:szCs w:val="15"/>
        </w:rPr>
      </w:pPr>
      <w:r>
        <w:rPr>
          <w:rFonts w:cs="Verdana" w:ascii="Verdana" w:hAnsi="Verdana"/>
          <w:b/>
          <w:bCs/>
          <w:color w:val="CC0033"/>
          <w:sz w:val="20"/>
          <w:szCs w:val="20"/>
        </w:rPr>
        <w:t>Enron</w:t>
      </w:r>
      <w:r>
        <w:rPr/>
        <w:t xml:space="preserve"> </w:t>
        <w:br/>
        <w:br/>
      </w:r>
      <w:r>
        <w:rPr>
          <w:rFonts w:cs="Verdana" w:ascii="Verdana" w:hAnsi="Verdana"/>
          <w:b/>
          <w:bCs/>
          <w:sz w:val="27"/>
          <w:szCs w:val="27"/>
        </w:rPr>
        <w:t>See you in court</w:t>
      </w:r>
    </w:p>
    <w:p>
      <w:pPr>
        <w:pStyle w:val="Normal"/>
        <w:rPr>
          <w:rFonts w:ascii="Verdana" w:hAnsi="Verdana" w:cs="Verdana"/>
          <w:color w:val="999999"/>
          <w:sz w:val="15"/>
          <w:szCs w:val="15"/>
        </w:rPr>
      </w:pPr>
      <w:r>
        <w:rPr>
          <w:rFonts w:cs="Verdana" w:ascii="Verdana" w:hAnsi="Verdana"/>
          <w:color w:val="999999"/>
          <w:sz w:val="15"/>
          <w:szCs w:val="15"/>
        </w:rPr>
        <w:t xml:space="preserve">Nov 15th 2001 | NEW YORK </w:t>
        <w:br/>
        <w:t>From The Economist print edition</w:t>
      </w:r>
    </w:p>
    <w:p>
      <w:pPr>
        <w:pStyle w:val="Normal"/>
        <w:rPr>
          <w:rFonts w:ascii="Arial Unicode MS;Tahoma" w:hAnsi="Arial Unicode MS;Tahoma" w:cs="Arial Unicode MS;Tahoma"/>
          <w:sz w:val="24"/>
        </w:rPr>
      </w:pPr>
      <w:r>
        <w:rPr/>
        <w:br/>
        <w:br/>
      </w:r>
      <w:r>
        <w:rPr>
          <w:rFonts w:cs="Verdana" w:ascii="Verdana" w:hAnsi="Verdana"/>
          <w:b/>
          <w:bCs/>
          <w:sz w:val="20"/>
          <w:szCs w:val="20"/>
        </w:rPr>
        <w:t>The company's trials have just begun</w:t>
      </w:r>
      <w:r>
        <w:rPr/>
        <w:br/>
      </w:r>
    </w:p>
    <w:p>
      <w:pPr>
        <w:pStyle w:val="NormalWeb"/>
        <w:rPr>
          <w:rFonts w:ascii="Verdana" w:hAnsi="Verdana" w:cs="Verdana"/>
          <w:sz w:val="20"/>
          <w:szCs w:val="20"/>
        </w:rPr>
      </w:pPr>
      <w:r>
        <w:rPr>
          <w:rFonts w:cs="Verdana" w:ascii="Verdana" w:hAnsi="Verdana"/>
          <w:sz w:val="20"/>
          <w:szCs w:val="20"/>
        </w:rPr>
        <w:t xml:space="preserve">LAWYERS are swarming all over Enron's old financial statements and press releases in the hope of reaping huge fees from securities litigation. More than 20 class-action lawsuits have been filed in recent weeks, and new ones are popping up every day. A formal process has been started to consolidate litigation in Houston, where the troubled energy company is based, with all lawyers interested in the case required to stake their claims by December 21st. </w:t>
      </w:r>
    </w:p>
    <w:p>
      <w:pPr>
        <w:pStyle w:val="NormalWeb"/>
        <w:rPr/>
      </w:pPr>
      <w:r>
        <w:rPr>
          <w:rFonts w:cs="Verdana" w:ascii="Verdana" w:hAnsi="Verdana"/>
          <w:sz w:val="20"/>
          <w:szCs w:val="20"/>
        </w:rPr>
        <w:t>The broadest accusations will be of fraud and material misstatement, legal ways of saying that the company's financial statements were garbage. This week, Enron's founder and chairman, Kenneth Lay, decided to forgo a severance package worth over $60m while admitting that the company's problems “had been exacerbated by the extensive use of debt capital, both on and off the balance sheet”. America's Financial Accounting Standards Board (</w:t>
      </w:r>
      <w:r>
        <w:rPr>
          <w:rFonts w:cs="Verdana" w:ascii="Verdana" w:hAnsi="Verdana"/>
          <w:sz w:val="15"/>
          <w:szCs w:val="15"/>
        </w:rPr>
        <w:t>FASB</w:t>
      </w:r>
      <w:r>
        <w:rPr>
          <w:rFonts w:cs="Verdana" w:ascii="Verdana" w:hAnsi="Verdana"/>
          <w:sz w:val="20"/>
          <w:szCs w:val="20"/>
        </w:rPr>
        <w:t>) is looking again at off-balance-sheet financing, having fretted about it on and off for a decade.</w:t>
      </w:r>
    </w:p>
    <w:p>
      <w:pPr>
        <w:pStyle w:val="NormalWeb"/>
        <w:rPr>
          <w:rFonts w:ascii="Verdana" w:hAnsi="Verdana" w:cs="Verdana"/>
          <w:sz w:val="20"/>
          <w:szCs w:val="20"/>
        </w:rPr>
      </w:pPr>
      <w:r>
        <w:rPr>
          <w:rFonts w:cs="Verdana" w:ascii="Verdana" w:hAnsi="Verdana"/>
          <w:sz w:val="20"/>
          <w:szCs w:val="20"/>
        </w:rPr>
        <w:t>There will also be charges of insider trading, because even as Enron was issuing securities amid glowing profits reports, top executives were dumping over $1 billion of Enron shares to “unsuspecting investors”, a group that includes anybody who, however briefly, has held one of the company's 750m shares in the past two years. “The number of class members will be huge,” says Maurice Pesso, a lawyer at a New York firm that has filed a claim.</w:t>
      </w:r>
    </w:p>
    <w:p>
      <w:pPr>
        <w:pStyle w:val="NormalWeb"/>
        <w:rPr>
          <w:rFonts w:ascii="Verdana" w:hAnsi="Verdana" w:cs="Verdana"/>
          <w:sz w:val="20"/>
          <w:szCs w:val="20"/>
        </w:rPr>
      </w:pPr>
      <w:r>
        <w:rPr>
          <w:rFonts w:cs="Verdana" w:ascii="Verdana" w:hAnsi="Verdana"/>
          <w:sz w:val="20"/>
          <w:szCs w:val="20"/>
        </w:rPr>
        <w:t>There are, however, limits to the company's liability. It has already restated its results going back five years, but federal law restricts litigation to the past three. Moreover, Enron will not take the rap alone. Its auditor, Arthur Andersen (now plain Andersen), is also named as a defendant in at least one of the complaints already filed. The litigation comes after a rough decade for Andersen. It has had to pay hundreds of millions of dollars in settlements after sloppy audits on such companies as Waste Management, Sunbeam and Discovery Zone.</w:t>
      </w:r>
    </w:p>
    <w:p>
      <w:pPr>
        <w:pStyle w:val="NormalWeb"/>
        <w:rPr>
          <w:rFonts w:ascii="Verdana" w:hAnsi="Verdana" w:cs="Verdana"/>
          <w:sz w:val="20"/>
          <w:szCs w:val="20"/>
        </w:rPr>
      </w:pPr>
      <w:r>
        <w:rPr>
          <w:rFonts w:cs="Verdana" w:ascii="Verdana" w:hAnsi="Verdana"/>
          <w:sz w:val="20"/>
          <w:szCs w:val="20"/>
        </w:rPr>
        <w:t>Because Enron evolved from an energy company into a financial firm, it became much like an unregulated bank. The lack of supervision meant that the role of the company's auditor was crucial. Andersen was certainly paid as if it was. In 2000, it collected $25m for auditing Enron's books and another $27m for consulting services. Now how do you account for that?</w:t>
      </w:r>
    </w:p>
    <w:p>
      <w:pPr>
        <w:pStyle w:val="Normal"/>
        <w:rPr>
          <w:rFonts w:ascii="Verdana" w:hAnsi="Verdana" w:eastAsia="Arial Unicode MS;Tahoma" w:cs="Arial Unicode MS;Tahoma"/>
          <w:color w:val="999999"/>
          <w:sz w:val="15"/>
          <w:szCs w:val="15"/>
        </w:rPr>
      </w:pPr>
      <w:r>
        <w:rPr>
          <w:rFonts w:cs="Verdana" w:ascii="Verdana" w:hAnsi="Verdana"/>
          <w:b/>
          <w:bCs/>
          <w:color w:val="CC0033"/>
          <w:sz w:val="20"/>
          <w:szCs w:val="20"/>
        </w:rPr>
        <w:t>A financial black hole</w:t>
      </w:r>
      <w:r>
        <w:rPr/>
        <w:t xml:space="preserve"> </w:t>
        <w:br/>
        <w:br/>
      </w:r>
      <w:r>
        <w:rPr>
          <w:rFonts w:cs="Verdana" w:ascii="Verdana" w:hAnsi="Verdana"/>
          <w:b/>
          <w:bCs/>
          <w:sz w:val="27"/>
          <w:szCs w:val="27"/>
        </w:rPr>
        <w:t>Houston, we have a problem</w:t>
      </w:r>
    </w:p>
    <w:p>
      <w:pPr>
        <w:pStyle w:val="Normal"/>
        <w:rPr>
          <w:rFonts w:ascii="Verdana" w:hAnsi="Verdana" w:cs="Verdana"/>
          <w:color w:val="999999"/>
          <w:sz w:val="15"/>
          <w:szCs w:val="15"/>
        </w:rPr>
      </w:pPr>
      <w:r>
        <w:rPr>
          <w:rFonts w:cs="Verdana" w:ascii="Verdana" w:hAnsi="Verdana"/>
          <w:color w:val="999999"/>
          <w:sz w:val="15"/>
          <w:szCs w:val="15"/>
        </w:rPr>
        <w:t xml:space="preserve">Nov 3rd 2001 | HOUSTON, LONDON AND NEW YORK </w:t>
        <w:br/>
        <w:t>From The Economist print edition</w:t>
      </w:r>
    </w:p>
    <w:p>
      <w:pPr>
        <w:pStyle w:val="Normal"/>
        <w:rPr/>
      </w:pPr>
      <w:r>
        <w:rPr/>
        <w:br w:type="textWrapping" w:clear="all"/>
      </w:r>
      <w:r>
        <w:rPr>
          <w:rFonts w:cs="Verdana" w:ascii="Verdana" w:hAnsi="Verdana"/>
          <w:b/>
          <w:bCs/>
          <w:sz w:val="20"/>
          <w:szCs w:val="20"/>
        </w:rPr>
        <w:t>The troubles of Enron, a Texan powerhouse in the energy markets, could result in a new financial crisis</w:t>
      </w:r>
    </w:p>
    <w:p>
      <w:pPr>
        <w:pStyle w:val="NormalWeb"/>
        <w:rPr>
          <w:rFonts w:ascii="Verdana" w:hAnsi="Verdana" w:cs="Verdana"/>
          <w:sz w:val="20"/>
          <w:szCs w:val="20"/>
        </w:rPr>
      </w:pPr>
      <w:r>
        <w:rPr>
          <w:rFonts w:cs="Verdana" w:ascii="Verdana" w:hAnsi="Verdana"/>
          <w:sz w:val="20"/>
          <w:szCs w:val="20"/>
        </w:rPr>
        <w:t xml:space="preserve">JUST last year, visitors to Enron's glittering headquarters in Houston were greeted by a giant banner that proclaimed the firm, “The world's leading energy company”. That annoyed Enron's smaller energy-trading rivals, many of which have offices only a stone's throw away in Houston's Energy Alley, but not as much as what came next—a new banner, declaring Enron “The world's leading company”. In recent weeks, as the company has been engulfed by a financial crisis, that banner has quietly been removed. </w:t>
      </w:r>
    </w:p>
    <w:p>
      <w:pPr>
        <w:pStyle w:val="NormalWeb"/>
        <w:rPr/>
      </w:pPr>
      <w:r>
        <w:rPr>
          <w:rFonts w:cs="Verdana" w:ascii="Verdana" w:hAnsi="Verdana"/>
          <w:sz w:val="20"/>
          <w:szCs w:val="20"/>
        </w:rPr>
        <w:t>The heady mix of audacity, ambition and arrogance revealed by the banners is as good a guide as any to Enron's remarkable rise and fall. Forged in the 1980s by the merger of two troubled gas-pipeline firms, Enron drove the development of the sophisticated spot-and-derivatives markets in energy that it has come to dominate. Indeed, such is the scale of its operations, and its dealings with many of the world's financial institutions, that some observers see parallels with Long-Term Capital Management (</w:t>
      </w:r>
      <w:r>
        <w:rPr>
          <w:rFonts w:cs="Verdana" w:ascii="Verdana" w:hAnsi="Verdana"/>
          <w:sz w:val="15"/>
          <w:szCs w:val="15"/>
        </w:rPr>
        <w:t>LTCM</w:t>
      </w:r>
      <w:r>
        <w:rPr>
          <w:rFonts w:cs="Verdana" w:ascii="Verdana" w:hAnsi="Verdana"/>
          <w:sz w:val="20"/>
          <w:szCs w:val="20"/>
        </w:rPr>
        <w:t>), the hedge fund that failed in 1998—and not just because seemingly brilliant financial alchemists have been humbled. Were Enron to go bust—unlikely, but in the current nervous climate, not impossible—might a crisis ensue?</w:t>
      </w:r>
    </w:p>
    <w:p>
      <w:pPr>
        <w:pStyle w:val="NormalWeb"/>
        <w:rPr>
          <w:rFonts w:ascii="Verdana" w:hAnsi="Verdana" w:cs="Verdana"/>
          <w:sz w:val="20"/>
          <w:szCs w:val="20"/>
        </w:rPr>
      </w:pPr>
      <w:r>
        <w:rPr>
          <w:rFonts w:cs="Verdana" w:ascii="Verdana" w:hAnsi="Verdana"/>
          <w:sz w:val="20"/>
          <w:szCs w:val="20"/>
        </w:rPr>
        <w:t xml:space="preserve">Troubles in California's politically crazed power market, an ill-advised foray into telecoms bandwidth trading and concerns about management badly dented Enron's share price earlier this year, prompting the departure of Jeffrey Skilling, the firm's newish chief executive, in August. Kenneth Lay, an avid free-marketeer, friend of George Bush and visionary chairman of the firm, was obliged to resume hands-on control. </w:t>
      </w:r>
    </w:p>
    <w:p>
      <w:pPr>
        <w:pStyle w:val="NormalWeb"/>
        <w:rPr>
          <w:rFonts w:ascii="Verdana" w:hAnsi="Verdana" w:cs="Verdana"/>
          <w:sz w:val="20"/>
          <w:szCs w:val="20"/>
        </w:rPr>
      </w:pPr>
      <w:r>
        <w:rPr>
          <w:rFonts w:cs="Verdana" w:ascii="Verdana" w:hAnsi="Verdana"/>
          <w:sz w:val="20"/>
          <w:szCs w:val="20"/>
        </w:rPr>
        <w:t>This has not slowed Enron's decline. Day by day, it seems to be sinking deeper into a financial quagmire that is largely of its own creation. Not least thanks to its lack of transparency, the firm's credibility with the markets has eroded to the point that talk of a possible takeover or even bankruptcy is widespread.</w:t>
      </w:r>
    </w:p>
    <w:p>
      <w:pPr>
        <w:pStyle w:val="NormalWeb"/>
        <w:rPr/>
      </w:pPr>
      <w:r>
        <w:rPr>
          <w:rFonts w:cs="Verdana" w:ascii="Verdana" w:hAnsi="Verdana"/>
          <w:sz w:val="20"/>
          <w:szCs w:val="20"/>
        </w:rPr>
        <w:t xml:space="preserve">Enron's reputation for financial wizardry has been turned from an asset to a liability since its third-quarter results came out in mid-October, showing a $1 billion write-off on water distribution, broadband trading and other investments. Worse, disclosed only in passing by Mr Lay in a conference call with analysts, the firm suffered a $1.2 billion reduction in capital, stemming from a hedging deal with a related private-equity fund called </w:t>
      </w:r>
      <w:r>
        <w:rPr>
          <w:rFonts w:cs="Verdana" w:ascii="Verdana" w:hAnsi="Verdana"/>
          <w:sz w:val="15"/>
          <w:szCs w:val="15"/>
        </w:rPr>
        <w:t>LJM</w:t>
      </w:r>
      <w:r>
        <w:rPr>
          <w:rFonts w:cs="Verdana" w:ascii="Verdana" w:hAnsi="Verdana"/>
          <w:sz w:val="20"/>
          <w:szCs w:val="20"/>
        </w:rPr>
        <w:t xml:space="preserve">. The charge was due to Enron's forced sale of 55m of its own shares when the partnership was unwound this summer. Almost nobody outside Enron had been aware of the terms of the deal with </w:t>
      </w:r>
      <w:r>
        <w:rPr>
          <w:rFonts w:cs="Verdana" w:ascii="Verdana" w:hAnsi="Verdana"/>
          <w:sz w:val="15"/>
          <w:szCs w:val="15"/>
        </w:rPr>
        <w:t>LJM</w:t>
      </w:r>
      <w:r>
        <w:rPr>
          <w:rFonts w:cs="Verdana" w:ascii="Verdana" w:hAnsi="Verdana"/>
          <w:sz w:val="20"/>
          <w:szCs w:val="20"/>
        </w:rPr>
        <w:t xml:space="preserve">, a “structured finance vehicle”. </w:t>
      </w:r>
    </w:p>
    <w:tbl>
      <w:tblPr>
        <w:tblW w:w="3900" w:type="dxa"/>
        <w:jc w:val="start"/>
        <w:tblInd w:w="-75" w:type="dxa"/>
        <w:tblLayout w:type="fixed"/>
        <w:tblCellMar>
          <w:top w:w="0" w:type="dxa"/>
          <w:start w:w="0" w:type="dxa"/>
          <w:bottom w:w="0" w:type="dxa"/>
          <w:end w:w="0" w:type="dxa"/>
        </w:tblCellMar>
      </w:tblPr>
      <w:tblGrid>
        <w:gridCol w:w="3900"/>
      </w:tblGrid>
      <w:tr>
        <w:trPr/>
        <w:tc>
          <w:tcPr>
            <w:tcW w:w="3900" w:type="dxa"/>
            <w:tcBorders/>
          </w:tcPr>
          <w:p>
            <w:pPr>
              <w:pStyle w:val="Normal"/>
              <w:snapToGrid w:val="false"/>
              <w:rPr/>
            </w:pPr>
            <w:r>
              <w:rPr/>
            </w:r>
          </w:p>
        </w:tc>
      </w:tr>
    </w:tbl>
    <w:tbl>
      <w:tblPr>
        <w:tblpPr w:vertAnchor="text" w:tblpYSpec="center" w:horzAnchor="text" w:tblpXSpec="right"/>
        <w:tblW w:w="3900" w:type="dxa"/>
        <w:jc w:val="start"/>
        <w:tblInd w:w="0" w:type="dxa"/>
        <w:tblLayout w:type="fixed"/>
        <w:tblCellMar>
          <w:top w:w="0" w:type="dxa"/>
          <w:start w:w="0" w:type="dxa"/>
          <w:bottom w:w="0" w:type="dxa"/>
          <w:end w:w="0" w:type="dxa"/>
        </w:tblCellMar>
      </w:tblPr>
      <w:tblGrid>
        <w:gridCol w:w="3900"/>
      </w:tblGrid>
      <w:tr>
        <w:trPr/>
        <w:tc>
          <w:tcPr>
            <w:tcW w:w="3900" w:type="dxa"/>
            <w:tcBorders/>
          </w:tcPr>
          <w:p>
            <w:pPr>
              <w:pStyle w:val="Normal"/>
              <w:snapToGrid w:val="false"/>
              <w:rPr>
                <w:rFonts w:ascii="Arial Unicode MS;Tahoma" w:hAnsi="Arial Unicode MS;Tahoma" w:eastAsia="Arial Unicode MS;Tahoma" w:cs="Arial Unicode MS;Tahoma"/>
                <w:sz w:val="24"/>
              </w:rPr>
            </w:pPr>
            <w:r>
              <w:rPr>
                <w:rFonts w:eastAsia="Arial Unicode MS;Tahoma" w:cs="Arial Unicode MS;Tahoma" w:ascii="Arial Unicode MS;Tahoma" w:hAnsi="Arial Unicode MS;Tahoma"/>
                <w:sz w:val="24"/>
              </w:rPr>
            </w:r>
          </w:p>
          <w:tbl>
            <w:tblPr>
              <w:tblpPr w:vertAnchor="text" w:tblpYSpec="center" w:horzAnchor="text" w:tblpXSpec="right"/>
              <w:tblW w:w="5000" w:type="pct"/>
              <w:jc w:val="start"/>
              <w:tblInd w:w="0" w:type="dxa"/>
              <w:tblLayout w:type="fixed"/>
              <w:tblCellMar>
                <w:top w:w="0" w:type="dxa"/>
                <w:start w:w="0" w:type="dxa"/>
                <w:bottom w:w="0" w:type="dxa"/>
                <w:end w:w="0" w:type="dxa"/>
              </w:tblCellMar>
            </w:tblPr>
            <w:tblGrid>
              <w:gridCol w:w="110"/>
            </w:tblGrid>
            <w:tr>
              <w:trPr/>
              <w:tc>
                <w:tcPr>
                  <w:tcW w:w="110" w:type="dxa"/>
                  <w:tcBorders/>
                </w:tcPr>
                <w:p>
                  <w:pPr>
                    <w:pStyle w:val="Normal"/>
                    <w:snapToGrid w:val="false"/>
                    <w:rPr>
                      <w:color w:val="000000"/>
                      <w:sz w:val="20"/>
                      <w:szCs w:val="20"/>
                    </w:rPr>
                  </w:pPr>
                  <w:r>
                    <w:rPr>
                      <w:color w:val="000000"/>
                      <w:sz w:val="20"/>
                      <w:szCs w:val="20"/>
                    </w:rPr>
                  </w:r>
                </w:p>
              </w:tc>
            </w:tr>
            <w:tr>
              <w:trPr/>
              <w:tc>
                <w:tcPr>
                  <w:tcW w:w="110" w:type="dxa"/>
                  <w:tcBorders/>
                </w:tcPr>
                <w:p>
                  <w:pPr>
                    <w:pStyle w:val="Normal"/>
                    <w:snapToGrid w:val="false"/>
                    <w:rPr>
                      <w:color w:val="000000"/>
                      <w:sz w:val="20"/>
                      <w:szCs w:val="20"/>
                    </w:rPr>
                  </w:pPr>
                  <w:r>
                    <w:rPr>
                      <w:color w:val="000000"/>
                      <w:sz w:val="20"/>
                      <w:szCs w:val="20"/>
                    </w:rPr>
                  </w:r>
                </w:p>
              </w:tc>
            </w:tr>
          </w:tbl>
          <w:p>
            <w:pPr>
              <w:pStyle w:val="Normal"/>
              <w:rPr>
                <w:rFonts w:ascii="Arial Unicode MS;Tahoma" w:hAnsi="Arial Unicode MS;Tahoma" w:eastAsia="Arial Unicode MS;Tahoma" w:cs="Arial Unicode MS;Tahoma"/>
                <w:sz w:val="24"/>
              </w:rPr>
            </w:pPr>
            <w:r>
              <w:rPr>
                <w:rFonts w:eastAsia="Arial Unicode MS;Tahoma" w:cs="Arial Unicode MS;Tahoma" w:ascii="Arial Unicode MS;Tahoma" w:hAnsi="Arial Unicode MS;Tahoma"/>
                <w:sz w:val="24"/>
              </w:rPr>
            </w:r>
          </w:p>
        </w:tc>
      </w:tr>
      <w:tr>
        <w:trPr/>
        <w:tc>
          <w:tcPr>
            <w:tcW w:w="3900" w:type="dxa"/>
            <w:tcBorders/>
            <w:vAlign w:val="bottom"/>
          </w:tcPr>
          <w:p>
            <w:pPr>
              <w:pStyle w:val="Normal"/>
              <w:rPr>
                <w:rFonts w:ascii="Arial Unicode MS;Tahoma" w:hAnsi="Arial Unicode MS;Tahoma" w:eastAsia="Arial Unicode MS;Tahoma" w:cs="Arial Unicode MS;Tahoma"/>
                <w:sz w:val="24"/>
              </w:rPr>
            </w:pPr>
            <w:r>
              <w:rPr/>
              <w:drawing>
                <wp:inline distT="0" distB="0" distL="0" distR="0">
                  <wp:extent cx="2381250" cy="2305050"/>
                  <wp:effectExtent l="0" t="0" r="0" b="0"/>
                  <wp:docPr id="3" name="CFN77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N774" descr="" title=""/>
                          <pic:cNvPicPr>
                            <a:picLocks noChangeAspect="1" noChangeArrowheads="1"/>
                          </pic:cNvPicPr>
                        </pic:nvPicPr>
                        <pic:blipFill>
                          <a:blip r:embed="rId4"/>
                          <a:srcRect l="-15" t="-16" r="-15" b="-16"/>
                          <a:stretch>
                            <a:fillRect/>
                          </a:stretch>
                        </pic:blipFill>
                        <pic:spPr bwMode="auto">
                          <a:xfrm>
                            <a:off x="0" y="0"/>
                            <a:ext cx="2381250" cy="2305050"/>
                          </a:xfrm>
                          <a:prstGeom prst="rect">
                            <a:avLst/>
                          </a:prstGeom>
                          <a:noFill/>
                        </pic:spPr>
                      </pic:pic>
                    </a:graphicData>
                  </a:graphic>
                </wp:inline>
              </w:drawing>
            </w:r>
          </w:p>
        </w:tc>
      </w:tr>
      <w:tr>
        <w:trPr/>
        <w:tc>
          <w:tcPr>
            <w:tcW w:w="3900" w:type="dxa"/>
            <w:tcBorders/>
          </w:tcPr>
          <w:p>
            <w:pPr>
              <w:pStyle w:val="Normal"/>
              <w:snapToGrid w:val="false"/>
              <w:rPr>
                <w:rFonts w:ascii="Arial Unicode MS;Tahoma" w:hAnsi="Arial Unicode MS;Tahoma" w:eastAsia="Arial Unicode MS;Tahoma" w:cs="Arial Unicode MS;Tahoma"/>
                <w:color w:val="000000"/>
                <w:sz w:val="24"/>
                <w:szCs w:val="20"/>
              </w:rPr>
            </w:pPr>
            <w:r>
              <w:rPr>
                <w:rFonts w:eastAsia="Arial Unicode MS;Tahoma" w:cs="Arial Unicode MS;Tahoma" w:ascii="Arial Unicode MS;Tahoma" w:hAnsi="Arial Unicode MS;Tahoma"/>
                <w:color w:val="000000"/>
                <w:sz w:val="24"/>
                <w:szCs w:val="20"/>
              </w:rPr>
            </w:r>
          </w:p>
        </w:tc>
      </w:tr>
    </w:tbl>
    <w:p>
      <w:pPr>
        <w:pStyle w:val="NormalWeb"/>
        <w:rPr>
          <w:rFonts w:ascii="Verdana" w:hAnsi="Verdana" w:cs="Verdana"/>
          <w:sz w:val="20"/>
          <w:szCs w:val="20"/>
        </w:rPr>
      </w:pPr>
      <w:r>
        <w:rPr>
          <w:rFonts w:cs="Verdana" w:ascii="Verdana" w:hAnsi="Verdana"/>
          <w:sz w:val="20"/>
          <w:szCs w:val="20"/>
        </w:rPr>
        <w:t>Enron's failure to offer details about the risks from other related partnerships have led many to fear the worst about its huge balance sheet. Its shares plunged by 19% on October 30th alone (see chart), before recovering a bit the next day.</w:t>
      </w:r>
    </w:p>
    <w:p>
      <w:pPr>
        <w:pStyle w:val="NormalWeb"/>
        <w:rPr/>
      </w:pPr>
      <w:r>
        <w:rPr>
          <w:rFonts w:cs="Verdana" w:ascii="Verdana" w:hAnsi="Verdana"/>
          <w:sz w:val="20"/>
          <w:szCs w:val="20"/>
        </w:rPr>
        <w:t xml:space="preserve">Andrew Fastow, who was replaced as chief financial officer on October 24th, was a general partner in </w:t>
      </w:r>
      <w:r>
        <w:rPr>
          <w:rFonts w:cs="Verdana" w:ascii="Verdana" w:hAnsi="Verdana"/>
          <w:sz w:val="15"/>
          <w:szCs w:val="15"/>
        </w:rPr>
        <w:t>LJM</w:t>
      </w:r>
      <w:r>
        <w:rPr>
          <w:rFonts w:cs="Verdana" w:ascii="Verdana" w:hAnsi="Verdana"/>
          <w:sz w:val="20"/>
          <w:szCs w:val="20"/>
        </w:rPr>
        <w:t>. Jeffrey McMahon, his successor, has much to do to restore confidence. Questions abound. Were the trusts run at arm's length? What did Mr Fastow earn from the partnership? Ominously, the Securities and Exchange Commission (</w:t>
      </w:r>
      <w:r>
        <w:rPr>
          <w:rFonts w:cs="Verdana" w:ascii="Verdana" w:hAnsi="Verdana"/>
          <w:sz w:val="15"/>
          <w:szCs w:val="15"/>
        </w:rPr>
        <w:t>SEC</w:t>
      </w:r>
      <w:r>
        <w:rPr>
          <w:rFonts w:cs="Verdana" w:ascii="Verdana" w:hAnsi="Verdana"/>
          <w:sz w:val="20"/>
          <w:szCs w:val="20"/>
        </w:rPr>
        <w:t>) has now launched a formal inquiry.</w:t>
      </w:r>
    </w:p>
    <w:p>
      <w:pPr>
        <w:pStyle w:val="NormalWeb"/>
        <w:rPr>
          <w:rFonts w:ascii="Verdana" w:hAnsi="Verdana" w:cs="Verdana"/>
          <w:sz w:val="20"/>
          <w:szCs w:val="20"/>
        </w:rPr>
      </w:pPr>
      <w:r>
        <w:rPr>
          <w:rFonts w:cs="Verdana" w:ascii="Verdana" w:hAnsi="Verdana"/>
          <w:sz w:val="20"/>
          <w:szCs w:val="20"/>
        </w:rPr>
        <w:t>Moody's, a rating agency, last week cut its rating on the company's debt to barely above “junk” level. Further downgrades might unleash claims from other off-balance-sheet partnerships. Those known about, such as Atlantic Water and Marlin Water, do not seem big enough to bankrupt Enron, but speculation is rife about what other obligations might lurk secretly in other structured vehicles.</w:t>
      </w:r>
    </w:p>
    <w:p>
      <w:pPr>
        <w:pStyle w:val="NormalWeb"/>
        <w:rPr>
          <w:rFonts w:ascii="Verdana" w:hAnsi="Verdana" w:cs="Verdana"/>
          <w:sz w:val="20"/>
          <w:szCs w:val="20"/>
        </w:rPr>
      </w:pPr>
      <w:r>
        <w:rPr>
          <w:rFonts w:cs="Verdana" w:ascii="Verdana" w:hAnsi="Verdana"/>
          <w:sz w:val="20"/>
          <w:szCs w:val="20"/>
        </w:rPr>
        <w:t>A lower credit rating could destroy Enron's core franchise as the leading energy middleman, by scaring away customers and freezing the wholesale energy markets. That might have nasty consequences in other markets. Enron acknowledges that it is a large participant in the derivatives market, holding a portfolio with a notional value of $21 billion. Rightly or wrongly, many traders believe that figure vastly understates Enron's presence. If the firms on the other side of Enron's trades start to fear that payment is not coming, they might curb their other trading, producing a knock-on effect. Where this could end up is a subject of much conjecture.</w:t>
      </w:r>
    </w:p>
    <w:p>
      <w:pPr>
        <w:pStyle w:val="NormalWeb"/>
        <w:rPr>
          <w:rFonts w:ascii="Verdana" w:hAnsi="Verdana" w:cs="Verdana"/>
          <w:sz w:val="20"/>
          <w:szCs w:val="20"/>
        </w:rPr>
      </w:pPr>
      <w:r>
        <w:rPr>
          <w:rFonts w:cs="Verdana" w:ascii="Verdana" w:hAnsi="Verdana"/>
          <w:sz w:val="20"/>
          <w:szCs w:val="20"/>
        </w:rPr>
        <w:t>Utilities that trade energy could be hit. So could the commodity and derivative operations of large commercial and investment banks. The ties are notably tight between Enron and J.P. Morgan Chase, according to Ventana Capital, a research firm. Not only does J.P. Morgan provide innumerable separate credit arrangements for Enron; it also has the largest derivative operation of any bank, as well as a large business trading commodities. There is “no doubt” that Enron is on the other side of many J.P. Morgan trades, says Ventana.</w:t>
      </w:r>
    </w:p>
    <w:p>
      <w:pPr>
        <w:pStyle w:val="NormalWeb"/>
        <w:rPr/>
      </w:pPr>
      <w:r>
        <w:rPr>
          <w:rFonts w:cs="Verdana" w:ascii="Verdana" w:hAnsi="Verdana"/>
          <w:sz w:val="20"/>
          <w:szCs w:val="20"/>
        </w:rPr>
        <w:t xml:space="preserve">Were Enron to fail, Ventana thinks “it has the potential to cause a major financial crisis”, worse, in some ways, than what occurred after </w:t>
      </w:r>
      <w:r>
        <w:rPr>
          <w:rFonts w:cs="Verdana" w:ascii="Verdana" w:hAnsi="Verdana"/>
          <w:sz w:val="15"/>
          <w:szCs w:val="15"/>
        </w:rPr>
        <w:t>LTCM</w:t>
      </w:r>
      <w:r>
        <w:rPr>
          <w:rFonts w:cs="Verdana" w:ascii="Verdana" w:hAnsi="Verdana"/>
          <w:sz w:val="20"/>
          <w:szCs w:val="20"/>
        </w:rPr>
        <w:t>. That merely froze the debt markets temporarily, whereas Enron deals in the building-blocks of the American economy. Imagine gridlock in the markets for gas, timber, coal, metals, fertiliser, bandwidth or indeed any of the products Enron deals in.</w:t>
      </w:r>
    </w:p>
    <w:p>
      <w:pPr>
        <w:pStyle w:val="NormalWeb"/>
        <w:rPr>
          <w:rFonts w:ascii="Verdana" w:hAnsi="Verdana" w:cs="Verdana"/>
          <w:sz w:val="20"/>
          <w:szCs w:val="20"/>
        </w:rPr>
      </w:pPr>
      <w:r>
        <w:rPr>
          <w:rFonts w:cs="Verdana" w:ascii="Verdana" w:hAnsi="Verdana"/>
          <w:sz w:val="20"/>
          <w:szCs w:val="20"/>
        </w:rPr>
        <w:t>As yet, this all seems unlikely. Many big traders were happy to deal with Enron this week, although at shorter maturities and with less complex structures than in the past. Trading on EnronOnline was reportedly strong. Jim Donnell of Duke Energy, a big energy trader, described “a huge dichotomy” between the collapse in confidence in Enron in the equity and credit markets and the “business as usual” attitude taken by big commodity trading firms when considering Enron as a counterparty.</w:t>
      </w:r>
    </w:p>
    <w:p>
      <w:pPr>
        <w:pStyle w:val="NormalWeb"/>
        <w:rPr/>
      </w:pPr>
      <w:r>
        <w:rPr>
          <w:rFonts w:cs="Verdana" w:ascii="Verdana" w:hAnsi="Verdana"/>
          <w:sz w:val="20"/>
          <w:szCs w:val="20"/>
        </w:rPr>
        <w:t>Yet as questions about Enron's credit-standing spread this week, it began to have difficulty making markets in some instruments. Few firms would accept Enron's name as guarantor of a credit derivative. In its core energy markets some big trading counterparties refused the Enron name. On the Intercontinental Exchange (</w:t>
      </w:r>
      <w:r>
        <w:rPr>
          <w:rFonts w:cs="Verdana" w:ascii="Verdana" w:hAnsi="Verdana"/>
          <w:sz w:val="15"/>
          <w:szCs w:val="15"/>
        </w:rPr>
        <w:t>ICE</w:t>
      </w:r>
      <w:r>
        <w:rPr>
          <w:rFonts w:cs="Verdana" w:ascii="Verdana" w:hAnsi="Verdana"/>
          <w:sz w:val="20"/>
          <w:szCs w:val="20"/>
        </w:rPr>
        <w:t xml:space="preserve">), two houses reportedly specified that they would not take Enron's credit. </w:t>
      </w:r>
    </w:p>
    <w:p>
      <w:pPr>
        <w:pStyle w:val="NormalWeb"/>
        <w:rPr>
          <w:rFonts w:ascii="Verdana" w:hAnsi="Verdana" w:cs="Verdana"/>
          <w:sz w:val="20"/>
          <w:szCs w:val="20"/>
        </w:rPr>
      </w:pPr>
      <w:r>
        <w:rPr>
          <w:rFonts w:cs="Verdana" w:ascii="Verdana" w:hAnsi="Verdana"/>
          <w:sz w:val="20"/>
          <w:szCs w:val="20"/>
        </w:rPr>
        <w:t>The biggest credit exposure appeared to be with banks, whose $3 billion of back-up lines to Enron were drawn down last week. J.P. Morgan arranged an additional $1 billion emergency credit-line this week. This back-up, it is widely assumed, is needed mainly to meet margin calls triggered by the ratings downgrade.</w:t>
      </w:r>
    </w:p>
    <w:p>
      <w:pPr>
        <w:pStyle w:val="Normal"/>
        <w:rPr/>
      </w:pPr>
      <w:r>
        <w:rPr/>
        <w:br w:type="textWrapping" w:clear="all"/>
      </w:r>
    </w:p>
    <w:p>
      <w:pPr>
        <w:pStyle w:val="Normal"/>
        <w:rPr>
          <w:rFonts w:ascii="Verdana" w:hAnsi="Verdana" w:cs="Verdana"/>
          <w:b/>
          <w:bCs/>
        </w:rPr>
      </w:pPr>
      <w:r>
        <w:rPr>
          <w:rFonts w:cs="Verdana" w:ascii="Verdana" w:hAnsi="Verdana"/>
          <w:b/>
          <w:bCs/>
        </w:rPr>
        <w:t>Too big to fail?</w:t>
      </w:r>
    </w:p>
    <w:p>
      <w:pPr>
        <w:pStyle w:val="NormalWeb"/>
        <w:rPr>
          <w:rFonts w:ascii="Verdana" w:hAnsi="Verdana" w:cs="Verdana"/>
          <w:sz w:val="20"/>
          <w:szCs w:val="20"/>
        </w:rPr>
      </w:pPr>
      <w:r>
        <w:rPr>
          <w:rFonts w:cs="Verdana" w:ascii="Verdana" w:hAnsi="Verdana"/>
          <w:sz w:val="20"/>
          <w:szCs w:val="20"/>
        </w:rPr>
        <w:t>Is Enron too big and too important to be allowed to fail? Philip Verleger, an energy economist, thinks that Enron is so central to energy markets that it could not easily be replaced. Enron's rivals mostly disagree, unsurprisingly.</w:t>
      </w:r>
    </w:p>
    <w:p>
      <w:pPr>
        <w:pStyle w:val="NormalWeb"/>
        <w:rPr>
          <w:rFonts w:ascii="Verdana" w:hAnsi="Verdana" w:cs="Verdana"/>
          <w:sz w:val="20"/>
          <w:szCs w:val="20"/>
        </w:rPr>
      </w:pPr>
      <w:r>
        <w:rPr>
          <w:rFonts w:cs="Verdana" w:ascii="Verdana" w:hAnsi="Verdana"/>
          <w:sz w:val="20"/>
          <w:szCs w:val="20"/>
        </w:rPr>
        <w:t>But even Enron's worst enemies do not (yet) expect the firm to die from its current crisis. Most traders seem keen that it should live. “Nobody likes to see a wholesale trader disappear,” says one. They admire Enron's armies of traders and their ability to do deals. EnronOnline is one of the Internet's few success stories, assuming its huge trading volumes do indeed generate big profits, as the firm claims.</w:t>
      </w:r>
    </w:p>
    <w:p>
      <w:pPr>
        <w:pStyle w:val="NormalWeb"/>
        <w:rPr/>
      </w:pPr>
      <w:r>
        <w:rPr>
          <w:rFonts w:cs="Verdana" w:ascii="Verdana" w:hAnsi="Verdana"/>
          <w:sz w:val="20"/>
          <w:szCs w:val="20"/>
        </w:rPr>
        <w:t xml:space="preserve">Enron's, and the financial system's, problems could worsen if doubts grow about its ability to meet its obligations. On the surface it is rich in assets, if not cash. But its lack of transparency leaves uncomfortable room for doubt. In June 2000, </w:t>
      </w:r>
      <w:r>
        <w:rPr>
          <w:rFonts w:cs="Verdana" w:ascii="Verdana" w:hAnsi="Verdana"/>
          <w:i/>
          <w:iCs/>
          <w:sz w:val="20"/>
          <w:szCs w:val="20"/>
        </w:rPr>
        <w:t>The Economist</w:t>
      </w:r>
      <w:r>
        <w:rPr>
          <w:rFonts w:cs="Verdana" w:ascii="Verdana" w:hAnsi="Verdana"/>
          <w:sz w:val="20"/>
          <w:szCs w:val="20"/>
        </w:rPr>
        <w:t xml:space="preserve"> challenged Mr Lay to reply to accusations of arrogance, high-handedness and a propensity to push the limits of the law. His response was revealing. To show that such charges were baseless, he pointed to another firm unfairly maligned by critics: Drexel Burnham Lambert, an investment bank that rose from obscurity to market prominence in the junk-bond boom of the 1980s. Drexel was accused of arrogance, he groused, but it was only being “very innovative and very aggressive”. Drexel was not bailed out: Michael Milken, its star, ended up in jail, and Drexel collapsed in a heap of bad debts and ignominy.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altName w:val="Tahoma"/>
    <w:charset w:val="80"/>
    <w:family w:val="swiss"/>
    <w:pitch w:val="variable"/>
  </w:font>
  <w:font w:name="Verdana">
    <w:charset w:val="00" w:characterSet="windows-1252"/>
    <w:family w:val="swiss"/>
    <w:pitch w:val="variable"/>
  </w:font>
</w:fonts>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000000"/>
      <w:sz w:val="22"/>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00"/>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Tahoma" w:hAnsi="Arial Unicode MS;Tahoma" w:eastAsia="Arial Unicode MS;Tahoma" w:cs="Arial Unicode MS;Tahoma"/>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2001-11-15T23:07:00Z</dcterms:created>
  <dc:creator>Don Schultz</dc:creator>
  <dc:description/>
  <dc:language>en-CA</dc:language>
  <cp:lastModifiedBy>Don Schultz</cp:lastModifiedBy>
  <dcterms:modified xsi:type="dcterms:W3CDTF">2001-11-15T23:34:00Z</dcterms:modified>
  <cp:revision>3</cp:revision>
  <dc:subject/>
  <dc:title>Face value </dc:title>
</cp:coreProperties>
</file>