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October 26, 2001</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Dynegy Inc.</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1000 Louisiana Street</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Suite 5800</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Houston, Texas 77002</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Attn:  Stephen W. Bergstrom, President</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Ladies and Gentlemen:</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spacing w:before="0" w:after="12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Enron Corp. ("Enron") and Dynegy Inc. ("Dynegy") are prepared to furnish each other with information in connection with a possible strategic transaction (the "Transaction"), which information is confidential or otherwise generally not available to the public (the "Confidential Information"). The term "Confidential Information" shall, with respect to the receiving party, not include information (a) that is or may become generally available to the public, (b) that is known to the receiving party at the time of disclosure or is thereafter acquired at any time from a source other than the other party hereto that was not known to the receiving party to be prohibited from making disclosure or (c) that is hereafter independently developed by the receiving party.</w:t>
      </w:r>
    </w:p>
    <w:p>
      <w:pPr>
        <w:pStyle w:val="Normal"/>
        <w:spacing w:before="0" w:after="120"/>
        <w:ind w:firstLine="72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As a condition to furnishing the Confidential Information to each other, the parties agree as follows:</w:t>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disclosing party immediately upon such disclosing party’s request and no copies shall be retained by a receiving party or its Representatives.  That portion of the Confidential Information that is found in analyses, compilations, studies or other documents prepared by or for a receiving party, the Confidential Information that is oral and the Confidential Information that is not so requested or returned will be held by the receiving party and kept subject to the terms of this agreement or destroyed.</w:t>
      </w:r>
    </w:p>
    <w:p>
      <w:pPr>
        <w:pStyle w:val="Normal"/>
        <w:numPr>
          <w:ilvl w:val="0"/>
          <w:numId w:val="0"/>
        </w:numPr>
        <w:ind w:hanging="720" w:start="1440" w:end="144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sz w:val="22"/>
        </w:rPr>
      </w:pPr>
      <w:r>
        <w:rPr>
          <w:rFonts w:cs="Times New Roman;Times New Roman" w:ascii="Times New Roman;Times New Roman" w:hAnsi="Times New Roman;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ind w:start="360" w:end="0"/>
        <w:jc w:val="both"/>
        <w:rPr>
          <w:sz w:val="22"/>
        </w:rPr>
      </w:pPr>
      <w:r>
        <w:rPr>
          <w:sz w:val="22"/>
        </w:rPr>
      </w:r>
    </w:p>
    <w:p>
      <w:pPr>
        <w:pStyle w:val="Normal"/>
        <w:numPr>
          <w:ilvl w:val="0"/>
          <w:numId w:val="2"/>
        </w:numPr>
        <w:jc w:val="both"/>
        <w:rPr>
          <w:sz w:val="22"/>
        </w:rPr>
      </w:pPr>
      <w:r>
        <w:rPr>
          <w:sz w:val="22"/>
        </w:rPr>
        <w:t>Both the parties understand and agree that no contract or agreement providing for a Transaction between such parties shall be deemed to exist between such parties unless and until a Definitive Agreement setting forth the terms, conditions and other provisions relating to a Transaction has been executed and delivered, and each such party hereby waives, in advance, any claims (including without limitation breach of contract) based on any alleged agreement between the parties to effect a Transaction unless and until a Definitive Agreement between such parties shall have been executed and delivered.  Each party also agrees that, unless and until a Definitive Agreement between the parties has been executed and delivered, the other party has no legal obligation of any kind whatsoever with respect to such Transaction by virtue of this agreement or any other written or oral expression with respect to such Transaction except, in the case of this agreement, for the matters expressly agreed to herein.  For purposes of this agreement, the term “Definitive Agreement” does not include an executed letter of intent or any other preliminary written agreement nor does it include any written or verbal acceptance by a party of an offer on the part of the other party.</w:t>
      </w:r>
    </w:p>
    <w:p>
      <w:pPr>
        <w:pStyle w:val="Normal"/>
        <w:jc w:val="both"/>
        <w:rPr>
          <w:sz w:val="22"/>
        </w:rPr>
      </w:pPr>
      <w:r>
        <w:rPr>
          <w:sz w:val="22"/>
        </w:rPr>
      </w:r>
    </w:p>
    <w:p>
      <w:pPr>
        <w:pStyle w:val="Normal"/>
        <w:numPr>
          <w:ilvl w:val="0"/>
          <w:numId w:val="2"/>
        </w:numPr>
        <w:jc w:val="both"/>
        <w:rPr>
          <w:sz w:val="22"/>
        </w:rPr>
      </w:pPr>
      <w:r>
        <w:rPr>
          <w:sz w:val="22"/>
        </w:rPr>
        <w:t>For a period of eighteen (18) months from the date of this agreement, no party (for purposes of this Section 5, a "Restricted Party") will, directly or indirectly, without the prior written consent of the other party (for purposes of this Section 5, the "Subject Party"), solicit for employment or hire any employee of such Subject Party or its affiliates with whom the Restricted Party shall have had contact or who became known to the Restricted Party in connection with its consideration of the Transaction.  This restriction does not apply to a general advertisement of employment opportunities not specifically directed at any employee of a Subject Party or its affiliates, and no Restricted Party shall be precluded from hiring anyone who has left the employ of the Subject Party or its affiliates, or whose employment by the Subject Party or its affiliates has been terminated, in each case, prior to commencement of employment discussions between the Restricted Party and such person.</w:t>
      </w:r>
    </w:p>
    <w:p>
      <w:pPr>
        <w:pStyle w:val="Normal"/>
        <w:jc w:val="both"/>
        <w:rPr>
          <w:sz w:val="22"/>
        </w:rPr>
      </w:pPr>
      <w:r>
        <w:rPr>
          <w:sz w:val="22"/>
        </w:rPr>
      </w:r>
    </w:p>
    <w:p>
      <w:pPr>
        <w:pStyle w:val="Normal"/>
        <w:numPr>
          <w:ilvl w:val="0"/>
          <w:numId w:val="2"/>
        </w:numPr>
        <w:jc w:val="both"/>
        <w:rPr>
          <w:sz w:val="22"/>
        </w:rPr>
      </w:pPr>
      <w:r>
        <w:rPr>
          <w:sz w:val="22"/>
        </w:rPr>
        <w:t>Except in connection with the negotiation of the terms of a Transaction or in accordance with the terms of a Definitive Agreement, for a period of twelve (12) months from the date of this agreement, no party (for purposes of this Section 6, a "Restricted Party") shall, directly or indirectly:</w:t>
      </w:r>
    </w:p>
    <w:p>
      <w:pPr>
        <w:pStyle w:val="Normal"/>
        <w:jc w:val="both"/>
        <w:rPr>
          <w:sz w:val="22"/>
        </w:rPr>
      </w:pPr>
      <w:r>
        <w:rPr>
          <w:sz w:val="22"/>
        </w:rPr>
      </w:r>
    </w:p>
    <w:p>
      <w:pPr>
        <w:pStyle w:val="Normal"/>
        <w:ind w:hanging="1080" w:start="1080" w:end="0"/>
        <w:jc w:val="both"/>
        <w:rPr>
          <w:sz w:val="22"/>
        </w:rPr>
      </w:pPr>
      <w:r>
        <w:rPr>
          <w:sz w:val="22"/>
        </w:rPr>
        <w:tab/>
        <w:tab/>
        <w:t>(i)</w:t>
        <w:tab/>
        <w:t>acquire, or offer or agree to acquire, by purchase or otherwise, any securities of the other party (for purposes of this Section 6, a "Subject Party") (or rights or options to acquire any securities of the Subject Party) except by way of stock dividends or other distributions made on a pro rata basis with respect to any securities of the Subject Party acquired by the Restricted Party prior to the date of this agreement;</w:t>
      </w:r>
    </w:p>
    <w:p>
      <w:pPr>
        <w:pStyle w:val="Normal"/>
        <w:ind w:hanging="1080" w:start="1080" w:end="0"/>
        <w:jc w:val="both"/>
        <w:rPr>
          <w:sz w:val="22"/>
        </w:rPr>
      </w:pPr>
      <w:r>
        <w:rPr>
          <w:sz w:val="22"/>
        </w:rPr>
      </w:r>
    </w:p>
    <w:p>
      <w:pPr>
        <w:pStyle w:val="Normal"/>
        <w:ind w:hanging="1080" w:start="1080" w:end="0"/>
        <w:jc w:val="both"/>
        <w:rPr>
          <w:sz w:val="22"/>
        </w:rPr>
      </w:pPr>
      <w:r>
        <w:rPr>
          <w:sz w:val="22"/>
        </w:rPr>
        <w:tab/>
        <w:tab/>
        <w:t>(ii)</w:t>
        <w:tab/>
        <w:t>solicit proxies or consents or become a “participant” in a “solicitation” (as such terms are defined in Regulation 14A under the Securities Exchange Act of 1934, as amended) of proxies or consents with respect to securities of the Subject Party with regard to any matter;</w:t>
      </w:r>
    </w:p>
    <w:p>
      <w:pPr>
        <w:pStyle w:val="Normal"/>
        <w:ind w:hanging="1080" w:start="1080" w:end="0"/>
        <w:jc w:val="both"/>
        <w:rPr>
          <w:sz w:val="22"/>
        </w:rPr>
      </w:pPr>
      <w:r>
        <w:rPr>
          <w:sz w:val="22"/>
        </w:rPr>
      </w:r>
    </w:p>
    <w:p>
      <w:pPr>
        <w:pStyle w:val="Normal"/>
        <w:ind w:hanging="1080" w:start="1080" w:end="0"/>
        <w:jc w:val="both"/>
        <w:rPr>
          <w:sz w:val="22"/>
        </w:rPr>
      </w:pPr>
      <w:r>
        <w:rPr>
          <w:sz w:val="22"/>
        </w:rPr>
        <w:tab/>
        <w:tab/>
        <w:t>(iii)</w:t>
        <w:tab/>
        <w:t>seek to control or influence the management or board of directors of the Subject Party with respect to the policies of the Subject Party, seek to advise, encourage or influence any person with respect to the voting of any securities of the Subject Party, or seek to induce or in any manner to assist any other person to initiate any stockholder proposal with respect to the securities of the Subject Party, any change of control of the Subject Party or for the purpose of convening a meeting of stockholders of the Subject Party or to initiate any tender or exchange offer for securities of the Subject Party;</w:t>
      </w:r>
    </w:p>
    <w:p>
      <w:pPr>
        <w:pStyle w:val="Normal"/>
        <w:ind w:hanging="1080" w:start="1080" w:end="0"/>
        <w:jc w:val="both"/>
        <w:rPr>
          <w:sz w:val="22"/>
        </w:rPr>
      </w:pPr>
      <w:r>
        <w:rPr>
          <w:sz w:val="22"/>
        </w:rPr>
      </w:r>
    </w:p>
    <w:p>
      <w:pPr>
        <w:pStyle w:val="Normal"/>
        <w:ind w:hanging="1080" w:start="1080" w:end="0"/>
        <w:jc w:val="both"/>
        <w:rPr>
          <w:sz w:val="22"/>
        </w:rPr>
      </w:pPr>
      <w:r>
        <w:rPr>
          <w:sz w:val="22"/>
        </w:rPr>
        <w:tab/>
        <w:tab/>
        <w:t>(iv)</w:t>
        <w:tab/>
        <w:t>without the prior written consent of the Subject Party, make any public announcement (except as required by law applicable to the Restricted Party or by policy of the principal stock exchange on which securities of the Restricted Party are admitted for trading) or make any written or oral proposal relating to a tender or exchange offer for securities of the Subject Party, a business combination (or other similar transaction that would result in a change of control), sale of assets, liquidation or other extraordinary corporate transaction between the Restricted Party (including any of its affiliates) and the Receiving Party (each such transaction being referred to herein as an “Acquisition”) or take any action that might require the Subject Party to make a public announcement regarding any Acquisition;</w:t>
      </w:r>
    </w:p>
    <w:p>
      <w:pPr>
        <w:pStyle w:val="Normal"/>
        <w:ind w:hanging="1080" w:start="1080" w:end="0"/>
        <w:jc w:val="both"/>
        <w:rPr>
          <w:sz w:val="22"/>
        </w:rPr>
      </w:pPr>
      <w:r>
        <w:rPr>
          <w:sz w:val="22"/>
        </w:rPr>
      </w:r>
    </w:p>
    <w:p>
      <w:pPr>
        <w:pStyle w:val="Normal"/>
        <w:ind w:hanging="1080" w:start="1080" w:end="0"/>
        <w:jc w:val="both"/>
        <w:rPr>
          <w:sz w:val="22"/>
        </w:rPr>
      </w:pPr>
      <w:r>
        <w:rPr>
          <w:sz w:val="22"/>
        </w:rPr>
        <w:tab/>
        <w:tab/>
        <w:t>(v)</w:t>
        <w:tab/>
        <w:t>initiate or make, or induce or attempt to induce or give encouragement to any other person through the provision of financial resources or incentives to initiate or make, (a) a proposal with respect to an Acquisition or (b) a proxy contest or other proxy solicitation with respect to the voting of any outstanding securities of the Subject Party;</w:t>
      </w:r>
    </w:p>
    <w:p>
      <w:pPr>
        <w:pStyle w:val="Normal"/>
        <w:ind w:hanging="1080" w:start="1080" w:end="0"/>
        <w:jc w:val="both"/>
        <w:rPr>
          <w:sz w:val="22"/>
        </w:rPr>
      </w:pPr>
      <w:r>
        <w:rPr>
          <w:sz w:val="22"/>
        </w:rPr>
      </w:r>
    </w:p>
    <w:p>
      <w:pPr>
        <w:pStyle w:val="Normal"/>
        <w:ind w:hanging="1080" w:start="1080" w:end="0"/>
        <w:jc w:val="both"/>
        <w:rPr>
          <w:sz w:val="22"/>
        </w:rPr>
      </w:pPr>
      <w:r>
        <w:rPr>
          <w:sz w:val="22"/>
        </w:rPr>
        <w:tab/>
        <w:tab/>
        <w:t>(vi)</w:t>
        <w:tab/>
        <w:t>deposit any securities of the Subject Party in a voting trust or subject any securities of the Subject Party to any arrangement or agreement with respect to the voting of securities of the Subject Party; or</w:t>
      </w:r>
    </w:p>
    <w:p>
      <w:pPr>
        <w:pStyle w:val="Normal"/>
        <w:ind w:hanging="1080" w:start="1080" w:end="0"/>
        <w:jc w:val="both"/>
        <w:rPr>
          <w:sz w:val="22"/>
        </w:rPr>
      </w:pPr>
      <w:r>
        <w:rPr>
          <w:sz w:val="22"/>
        </w:rPr>
      </w:r>
    </w:p>
    <w:p>
      <w:pPr>
        <w:pStyle w:val="Normal"/>
        <w:ind w:hanging="1080" w:start="1080" w:end="0"/>
        <w:jc w:val="both"/>
        <w:rPr>
          <w:sz w:val="22"/>
        </w:rPr>
      </w:pPr>
      <w:r>
        <w:rPr>
          <w:sz w:val="22"/>
        </w:rPr>
        <w:tab/>
        <w:tab/>
        <w:t>(vii)</w:t>
        <w:tab/>
        <w:t>form, join or in any way participate in a partnership, limited partnership, syndicate or other group (or otherwise act in concert with any other person) for the purpose of acquiring, holding, voting or disposing of securities of the Subject Party or taking any other actions restricted or prohibited under clauses (i) through (vii) of this Section 6.</w:t>
      </w:r>
    </w:p>
    <w:p>
      <w:pPr>
        <w:pStyle w:val="Normal"/>
        <w:jc w:val="both"/>
        <w:rPr>
          <w:sz w:val="22"/>
        </w:rPr>
      </w:pPr>
      <w:r>
        <w:rPr>
          <w:sz w:val="22"/>
        </w:rPr>
      </w:r>
    </w:p>
    <w:p>
      <w:pPr>
        <w:pStyle w:val="Normal"/>
        <w:numPr>
          <w:ilvl w:val="0"/>
          <w:numId w:val="2"/>
        </w:numPr>
        <w:jc w:val="both"/>
        <w:rPr>
          <w:sz w:val="22"/>
        </w:rPr>
      </w:pPr>
      <w:r>
        <w:rPr>
          <w:sz w:val="22"/>
        </w:rPr>
        <w:t>The receiving party acknowledges the importance to the disclosing party that the receiving party’s review of the Confidential Information and any discussion of a Transaction be conducted in confidentiality with only a limited number of individual Representatives of the disclosing party.  Accordingly, without the prior written consent of the disclosing party, the receiving party will not, and will cause its Representatives not to, contact with respect to the proposed Transaction any Representative of the disclosing party or any of its subsidiaries or affiliates other than those individuals listed on Annex A hereto.  A disclosing party may specify other or additional individuals that may be contacted pursuant to this provision by written notice to the receiving party.</w:t>
      </w:r>
    </w:p>
    <w:p>
      <w:pPr>
        <w:pStyle w:val="Normal"/>
        <w:ind w:start="360" w:end="0"/>
        <w:jc w:val="both"/>
        <w:rPr>
          <w:sz w:val="22"/>
        </w:rPr>
      </w:pPr>
      <w:r>
        <w:rPr>
          <w:sz w:val="22"/>
        </w:rPr>
      </w:r>
    </w:p>
    <w:p>
      <w:pPr>
        <w:pStyle w:val="Normal"/>
        <w:numPr>
          <w:ilvl w:val="0"/>
          <w:numId w:val="2"/>
        </w:numPr>
        <w:jc w:val="both"/>
        <w:rPr>
          <w:rFonts w:ascii="Times New Roman;Times New Roman" w:hAnsi="Times New Roman;Times New Roman" w:cs="Times New Roman;Times New Roman"/>
          <w:sz w:val="22"/>
        </w:rPr>
      </w:pPr>
      <w:r>
        <w:rPr>
          <w:sz w:val="22"/>
        </w:rPr>
        <w:t>Each party acknowledges that money damages would not be a sufficient remedy for any breach of this agreement by such party or its Representatives, and that without prejudice to any rights or remedies at law or in equity otherwise available to the other party, if such other party breaches any provision of this agreement, the other party shall be entitled to injunctive relief, specific performance or other appropriate equitable remedies for any such breach.  No failure or delay by the non-breaching party in exercising any right, power or privilege hereunder shall operate as a waiver thereof nor shall any single or partial exercise thereof preclude any other or further exercise thereof or the exercise of any other right, power or privilege hereunder.</w:t>
      </w:r>
      <w:r>
        <w:rPr>
          <w:rFonts w:cs="Times New Roman;Times New Roman" w:ascii="Times New Roman;Times New Roman" w:hAnsi="Times New Roman;Times New Roman"/>
          <w:sz w:val="22"/>
        </w:rPr>
        <w:t xml:space="preserve"> Notwithstanding the foregoing, each party hereby waives its right, if any, to recover punitive or exemplary damages for any breach of this agreement by the other party.</w:t>
      </w:r>
    </w:p>
    <w:p>
      <w:pPr>
        <w:pStyle w:val="Normal"/>
        <w:numPr>
          <w:ilvl w:val="0"/>
          <w:numId w:val="0"/>
        </w:numPr>
        <w:ind w:hanging="0" w:start="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2"/>
        </w:numPr>
        <w:tabs>
          <w:tab w:val="clear" w:pos="720"/>
          <w:tab w:val="left" w:pos="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The parties hereto agree that no employment, agency, joint venture, partnership or fiduciary relationship shall be deemed to exist or arise between them with respect to this agreement or the proposed Transaction.</w:t>
      </w:r>
    </w:p>
    <w:p>
      <w:pPr>
        <w:pStyle w:val="Normal"/>
        <w:numPr>
          <w:ilvl w:val="0"/>
          <w:numId w:val="0"/>
        </w:numPr>
        <w:tabs>
          <w:tab w:val="clear" w:pos="720"/>
          <w:tab w:val="left" w:pos="0" w:leader="none"/>
        </w:tabs>
        <w:ind w:hanging="0" w:start="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keepNext w:val="true"/>
        <w:numPr>
          <w:ilvl w:val="0"/>
          <w:numId w:val="2"/>
        </w:numPr>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The provisions of Sections 1 and 2 hereof shall terminate on the date two years from the date of this letter.</w:t>
      </w:r>
    </w:p>
    <w:p>
      <w:pPr>
        <w:pStyle w:val="Normal"/>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Very truly yours,</w:t>
      </w:r>
    </w:p>
    <w:p>
      <w:pPr>
        <w:pStyle w:val="Normal"/>
        <w:ind w:start="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0"/>
        </w:numPr>
        <w:tabs>
          <w:tab w:val="clear" w:pos="720"/>
          <w:tab w:val="left" w:pos="9360" w:leader="none"/>
        </w:tabs>
        <w:ind w:start="5040" w:end="0"/>
        <w:jc w:val="both"/>
        <w:outlineLvl w:val="0"/>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t>ENRON CORP.</w:t>
      </w:r>
    </w:p>
    <w:p>
      <w:pPr>
        <w:pStyle w:val="Normal"/>
        <w:tabs>
          <w:tab w:val="left" w:pos="720" w:leader="none"/>
          <w:tab w:val="left" w:pos="1440" w:leader="none"/>
          <w:tab w:val="left" w:pos="2160" w:leader="none"/>
          <w:tab w:val="right" w:pos="9360" w:leader="none"/>
        </w:tabs>
        <w:jc w:val="both"/>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r>
    </w:p>
    <w:p>
      <w:pPr>
        <w:pStyle w:val="Normal"/>
        <w:tabs>
          <w:tab w:val="clear" w:pos="720"/>
          <w:tab w:val="left" w:pos="4320" w:leader="none"/>
          <w:tab w:val="left" w:pos="6030" w:leader="none"/>
          <w:tab w:val="left" w:pos="9360" w:leader="none"/>
        </w:tabs>
        <w:ind w:firstLine="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By: </w:t>
      </w:r>
      <w:r>
        <w:rPr>
          <w:rFonts w:cs="Times New Roman;Times New Roman" w:ascii="Times New Roman;Times New Roman" w:hAnsi="Times New Roman;Times New Roman"/>
          <w:sz w:val="22"/>
          <w:u w:val="single"/>
        </w:rPr>
        <w:tab/>
        <w:tab/>
      </w:r>
    </w:p>
    <w:p>
      <w:pPr>
        <w:pStyle w:val="Normal"/>
        <w:tabs>
          <w:tab w:val="clear" w:pos="720"/>
          <w:tab w:val="left" w:pos="4320" w:leader="none"/>
          <w:tab w:val="left" w:pos="9360" w:leader="none"/>
        </w:tabs>
        <w:ind w:firstLine="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Name: </w:t>
      </w:r>
      <w:r>
        <w:rPr>
          <w:rFonts w:cs="Times New Roman;Times New Roman" w:ascii="Times New Roman;Times New Roman" w:hAnsi="Times New Roman;Times New Roman"/>
          <w:sz w:val="22"/>
          <w:u w:val="single"/>
        </w:rPr>
        <w:tab/>
      </w:r>
    </w:p>
    <w:p>
      <w:pPr>
        <w:pStyle w:val="Normal"/>
        <w:tabs>
          <w:tab w:val="clear" w:pos="720"/>
          <w:tab w:val="left" w:pos="4320" w:leader="none"/>
          <w:tab w:val="left" w:pos="9360" w:leader="none"/>
        </w:tabs>
        <w:ind w:firstLine="5040" w:end="0"/>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Title:</w:t>
      </w:r>
      <w:r>
        <w:rPr>
          <w:rFonts w:cs="Times New Roman;Times New Roman" w:ascii="Times New Roman;Times New Roman" w:hAnsi="Times New Roman;Times New Roman"/>
          <w:sz w:val="22"/>
          <w:u w:val="single"/>
        </w:rPr>
        <w:tab/>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Agreed and accepted as of</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date first written above:</w:t>
      </w:r>
    </w:p>
    <w:p>
      <w:pPr>
        <w:pStyle w:val="Normal"/>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numPr>
          <w:ilvl w:val="0"/>
          <w:numId w:val="0"/>
        </w:numPr>
        <w:jc w:val="both"/>
        <w:outlineLvl w:val="0"/>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t>DYNEGY INC.</w:t>
      </w:r>
    </w:p>
    <w:p>
      <w:pPr>
        <w:pStyle w:val="Normal"/>
        <w:jc w:val="both"/>
        <w:rPr>
          <w:rFonts w:ascii="Times New Roman;Times New Roman" w:hAnsi="Times New Roman;Times New Roman" w:cs="Times New Roman;Times New Roman"/>
          <w:b/>
          <w:bCs/>
          <w:sz w:val="22"/>
        </w:rPr>
      </w:pPr>
      <w:r>
        <w:rPr>
          <w:rFonts w:cs="Times New Roman;Times New Roman" w:ascii="Times New Roman;Times New Roman" w:hAnsi="Times New Roman;Times New Roman"/>
          <w:b/>
          <w:bCs/>
          <w:sz w:val="22"/>
        </w:rPr>
      </w:r>
    </w:p>
    <w:p>
      <w:pPr>
        <w:pStyle w:val="Normal"/>
        <w:tabs>
          <w:tab w:val="left" w:pos="720" w:leader="none"/>
          <w:tab w:val="left" w:pos="1440" w:leader="none"/>
          <w:tab w:val="left" w:pos="2160" w:leader="none"/>
          <w:tab w:val="right" w:pos="936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By: </w:t>
      </w:r>
      <w:r>
        <w:rPr>
          <w:rFonts w:cs="Times New Roman;Times New Roman" w:ascii="Times New Roman;Times New Roman" w:hAnsi="Times New Roman;Times New Roman"/>
          <w:sz w:val="22"/>
          <w:u w:val="single"/>
        </w:rPr>
        <w:tab/>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 xml:space="preserve">Name: </w:t>
      </w:r>
      <w:r>
        <w:rPr>
          <w:rFonts w:cs="Times New Roman;Times New Roman" w:ascii="Times New Roman;Times New Roman" w:hAnsi="Times New Roman;Times New Roman"/>
          <w:sz w:val="22"/>
          <w:u w:val="single"/>
        </w:rPr>
        <w:tab/>
      </w:r>
    </w:p>
    <w:p>
      <w:pPr>
        <w:pStyle w:val="Normal"/>
        <w:tabs>
          <w:tab w:val="clear" w:pos="720"/>
          <w:tab w:val="left" w:pos="4320" w:leader="none"/>
        </w:tabs>
        <w:jc w:val="both"/>
        <w:rPr/>
      </w:pPr>
      <w:r>
        <w:rPr>
          <w:rFonts w:cs="Times New Roman;Times New Roman" w:ascii="Times New Roman;Times New Roman" w:hAnsi="Times New Roman;Times New Roman"/>
          <w:sz w:val="22"/>
        </w:rPr>
        <w:t>Title:</w:t>
      </w:r>
      <w:r>
        <w:rPr>
          <w:rFonts w:cs="Times New Roman;Times New Roman" w:ascii="Times New Roman;Times New Roman" w:hAnsi="Times New Roman;Times New Roman"/>
          <w:sz w:val="22"/>
          <w:u w:val="single"/>
        </w:rPr>
        <w:tab/>
      </w:r>
      <w:r>
        <w:br w:type="page"/>
      </w:r>
    </w:p>
    <w:p>
      <w:pPr>
        <w:pStyle w:val="Normal"/>
        <w:tabs>
          <w:tab w:val="clear" w:pos="720"/>
          <w:tab w:val="left" w:pos="4320" w:leader="none"/>
        </w:tabs>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u w:val="single"/>
        </w:rPr>
        <w:t>Annex A</w:t>
      </w:r>
    </w:p>
    <w:p>
      <w:pPr>
        <w:pStyle w:val="Normal"/>
        <w:tabs>
          <w:tab w:val="clear" w:pos="720"/>
          <w:tab w:val="left" w:pos="4320" w:leader="none"/>
        </w:tabs>
        <w:jc w:val="cent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Representatives of Enron that may be contacted:</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Greg Whalley</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Jeffrey McMahon</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Jeffrey M. Donahue, Jr.</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Mark E. Haedicke</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Mark S. Muller</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Mitch Taylor</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W. Lance Schuler</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Travis McCullough</w:t>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Normal"/>
        <w:tabs>
          <w:tab w:val="clear" w:pos="720"/>
          <w:tab w:val="left" w:pos="4320" w:leader="none"/>
        </w:tabs>
        <w:jc w:val="both"/>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Representatives of Dynegy that may be contacted:</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o:legal/tmccull/Spec/DynegyIncCA.doc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/mnt/main-storage/datasets/enron-docs/doc/DynegyIncCA.doc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Dynegy Inc.</w:t>
    </w:r>
  </w:p>
  <w:p>
    <w:pPr>
      <w:pStyle w:val="Header"/>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t>October 26, 2001</w:t>
    </w:r>
  </w:p>
  <w:p>
    <w:pPr>
      <w:pStyle w:val="Header"/>
      <w:rPr/>
    </w:pPr>
    <w:r>
      <w:rPr>
        <w:rFonts w:cs="Times New Roman;Times New Roman" w:ascii="Times New Roman;Times New Roman" w:hAnsi="Times New Roman;Times New Roman"/>
        <w:sz w:val="22"/>
      </w:rPr>
      <w:t xml:space="preserve">Page - </w:t>
    </w:r>
    <w:r>
      <w:rPr>
        <w:rFonts w:cs="Times New Roman;Times New Roman" w:ascii="Times New Roman;Times New Roman" w:hAnsi="Times New Roman;Times New Roman"/>
        <w:sz w:val="22"/>
      </w:rPr>
      <w:fldChar w:fldCharType="begin"/>
    </w:r>
    <w:r>
      <w:rPr>
        <w:sz w:val="22"/>
        <w:rFonts w:cs="Times New Roman;Times New Roman" w:ascii="Times New Roman;Times New Roman" w:hAnsi="Times New Roman;Times New Roman"/>
      </w:rPr>
      <w:instrText xml:space="preserve"> PAGE </w:instrText>
    </w:r>
    <w:r>
      <w:rPr>
        <w:sz w:val="22"/>
        <w:rFonts w:cs="Times New Roman;Times New Roman" w:ascii="Times New Roman;Times New Roman" w:hAnsi="Times New Roman;Times New Roman"/>
      </w:rPr>
      <w:fldChar w:fldCharType="separate"/>
    </w:r>
    <w:r>
      <w:rPr>
        <w:sz w:val="22"/>
        <w:rFonts w:cs="Times New Roman;Times New Roman" w:ascii="Times New Roman;Times New Roman" w:hAnsi="Times New Roman;Times New Roman"/>
      </w:rPr>
      <w:t>5</w:t>
    </w:r>
    <w:r>
      <w:rPr>
        <w:sz w:val="22"/>
        <w:rFonts w:cs="Times New Roman;Times New Roman" w:ascii="Times New Roman;Times New Roman" w:hAnsi="Times New Roman;Times New Roman"/>
      </w:rPr>
      <w:fldChar w:fldCharType="end"/>
    </w:r>
    <w:r>
      <w:rPr>
        <w:rFonts w:cs="Times New Roman;Times New Roman" w:ascii="Times New Roman;Times New Roman" w:hAnsi="Times New Roman;Times New Roman"/>
        <w:sz w:val="22"/>
      </w:rPr>
      <w:t xml:space="preserve"> -</w:t>
    </w:r>
  </w:p>
  <w:p>
    <w:pPr>
      <w:pStyle w:val="Head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Header"/>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Times New Roman" w:cs="Times New Roma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verflowPunct w:val="false"/>
      <w:autoSpaceDE w:val="false"/>
      <w:jc w:val="both"/>
      <w:textAlignment w:val="baseline"/>
    </w:pPr>
    <w:rPr>
      <w:rFonts w:ascii="Times New Roman;Times New Roman" w:hAnsi="Times New Roman;Times New Roman" w:cs="Times New Roman;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Times New Roman" w:hAnsi="Times New Roman;Times New Roman" w:cs="Times New Roman;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2001-10-26T16:08:00Z</dcterms:created>
  <dc:creator>ECT</dc:creator>
  <dc:description/>
  <dc:language>en-CA</dc:language>
  <cp:lastModifiedBy>Travis McCullough</cp:lastModifiedBy>
  <cp:lastPrinted>2000-11-27T13:57:00Z</cp:lastPrinted>
  <dcterms:modified xsi:type="dcterms:W3CDTF">2001-10-26T17:31:00Z</dcterms:modified>
  <cp:revision>10</cp:revision>
  <dc:subject/>
  <dc:title>Reciprocal Confidentiality Agreement</dc:title>
</cp:coreProperties>
</file>