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ind w:firstLine="720" w:end="0"/>
        <w:jc w:val="center"/>
        <w:rPr>
          <w:rFonts w:ascii="Helvetica" w:hAnsi="Helvetica" w:eastAsia="Helvetica" w:cs="Helvetica"/>
        </w:rPr>
      </w:pPr>
      <w:r>
        <w:rPr>
          <w:rFonts w:eastAsia="Helvetica" w:cs="Helvetica" w:ascii="Helvetica" w:hAnsi="Helvetica"/>
          <w:b/>
          <w:bCs/>
        </w:rPr>
        <w:t>Dynegy Comments - RTO West Draft Proposal</w:t>
      </w:r>
    </w:p>
    <w:p>
      <w:pPr>
        <w:pStyle w:val="BodyTextIndent2"/>
        <w:ind w:firstLine="720" w:end="0"/>
        <w:rPr>
          <w:rFonts w:ascii="Helvetica" w:hAnsi="Helvetica" w:eastAsia="Helvetica" w:cs="Helvetica"/>
        </w:rPr>
      </w:pPr>
      <w:r>
        <w:rPr>
          <w:rFonts w:eastAsia="Helvetica" w:cs="Helvetica" w:ascii="Helvetica" w:hAnsi="Helvetica"/>
        </w:rPr>
        <w:t>Dynegy appreciates the opportunity to provide comments on current RTO West draft proposals.  Dynegy has been participating in the RTO West stakeholder efforts and appreciates the overall effort by the RTO West team and all parties to craft a proposal that works for parties and one that will be accepted by FERC.  Our comments at this time focus on overarching concerns that need to be addressed to ensure fair non-discriminatory RTO service that is available to all market participants, including new entrants, which will encourage the development of a more efficient regional energy market.   As a guidepost, Dynegy looks to the FERC staff concept paper for signs of fundamental policy direction as important background in considering its comments on the RTO West proposals (http://www.ferc.fed.us/Electric/RTO/mrkt-strct-comments/mrkt-strct-concept.PDF).  The major points below are consistent with the direction of the FERC staff concept paper.</w:t>
      </w:r>
    </w:p>
    <w:p>
      <w:pPr>
        <w:pStyle w:val="BodyTextIndent2"/>
        <w:ind w:firstLine="720" w:end="0"/>
        <w:jc w:val="center"/>
        <w:rPr>
          <w:rFonts w:ascii="Helvetica" w:hAnsi="Helvetica" w:eastAsia="Helvetica" w:cs="Helvetica"/>
          <w:b/>
          <w:bCs/>
        </w:rPr>
      </w:pPr>
      <w:r>
        <w:rPr>
          <w:rFonts w:eastAsia="Helvetica" w:cs="Helvetica" w:ascii="Helvetica" w:hAnsi="Helvetica"/>
          <w:b/>
          <w:bCs/>
        </w:rPr>
        <w:t>RTO West Congestion Management Proposal</w:t>
      </w:r>
    </w:p>
    <w:p>
      <w:pPr>
        <w:pStyle w:val="BodyTextIndent2"/>
        <w:ind w:firstLine="720" w:end="0"/>
        <w:rPr/>
      </w:pPr>
      <w:r>
        <w:rPr>
          <w:rFonts w:eastAsia="Helvetica" w:cs="Helvetica" w:ascii="Helvetica" w:hAnsi="Helvetica"/>
        </w:rPr>
        <w:t xml:space="preserve">RTO West is planning to design an injection and withdrawal, “accept all bids”, financial rights model.  Dynegy understands that the RTO West model incorporates bilateral schedules.  Dynegy is supportive of this congestion management approach, as long as it defines and implements products that allow transmission customers to have a choice of useful congestion hedging products to match up with firm service. The RTO West congestion management proposal needs further detail on this point.  </w:t>
      </w:r>
      <w:r>
        <w:rPr>
          <w:rFonts w:eastAsia="Helvetica" w:cs="Helvetica" w:ascii="Helvetica" w:hAnsi="Helvetica"/>
          <w:color w:val="000000"/>
        </w:rPr>
        <w:t xml:space="preserve"> </w:t>
      </w:r>
    </w:p>
    <w:p>
      <w:pPr>
        <w:pStyle w:val="BodyTextIndent2"/>
        <w:ind w:firstLine="720" w:end="0"/>
        <w:rPr>
          <w:rFonts w:ascii="Helvetica" w:hAnsi="Helvetica" w:eastAsia="Helvetica" w:cs="Helvetica"/>
        </w:rPr>
      </w:pPr>
      <w:r>
        <w:rPr>
          <w:rFonts w:eastAsia="Helvetica" w:cs="Helvetica" w:ascii="Helvetica" w:hAnsi="Helvetica"/>
        </w:rPr>
        <w:t xml:space="preserve">  </w:t>
      </w:r>
      <w:r>
        <w:rPr>
          <w:rFonts w:eastAsia="Helvetica" w:cs="Helvetica" w:ascii="Helvetica" w:hAnsi="Helvetica"/>
        </w:rPr>
        <w:t>Dynegy recommends that congestion hedges be defined as options and flowgates; however, our recommendation would not preclude point-to-point and obligation products.  A tool box of all of these congestion management products and services would best meet customer needs.  As part of its proposal, Dynegy also proposes that RTO West explicitly acknowledge that it will work with the market and customers to facilitate the creation of additional congestion hedges and other RTO West products, once the RTO is operational.</w:t>
      </w:r>
    </w:p>
    <w:p>
      <w:pPr>
        <w:pStyle w:val="BodyTextIndent2"/>
        <w:spacing w:lineRule="auto" w:line="240"/>
        <w:ind w:hanging="0" w:end="0"/>
        <w:jc w:val="center"/>
        <w:rPr>
          <w:rFonts w:ascii="Helvetica" w:hAnsi="Helvetica" w:eastAsia="Helvetica" w:cs="Helvetica"/>
          <w:b/>
          <w:bCs/>
        </w:rPr>
      </w:pPr>
      <w:r>
        <w:rPr>
          <w:rFonts w:eastAsia="Helvetica" w:cs="Helvetica" w:ascii="Helvetica" w:hAnsi="Helvetica"/>
          <w:b/>
          <w:bCs/>
        </w:rPr>
        <w:t>All Load Must Take Service Under The RTO West Tariff</w:t>
      </w:r>
    </w:p>
    <w:p>
      <w:pPr>
        <w:pStyle w:val="BodyTextIndent2"/>
        <w:spacing w:lineRule="auto" w:line="240"/>
        <w:ind w:hanging="0" w:end="0"/>
        <w:rPr>
          <w:rFonts w:ascii="Helvetica" w:hAnsi="Helvetica" w:eastAsia="Helvetica" w:cs="Helvetica"/>
          <w:b/>
          <w:bCs/>
        </w:rPr>
      </w:pPr>
      <w:r>
        <w:rPr>
          <w:rFonts w:eastAsia="Helvetica" w:cs="Helvetica" w:ascii="Helvetica" w:hAnsi="Helvetica"/>
          <w:b/>
          <w:bCs/>
        </w:rPr>
      </w:r>
    </w:p>
    <w:p>
      <w:pPr>
        <w:pStyle w:val="BodyTextIndent2"/>
        <w:ind w:firstLine="720" w:end="0"/>
        <w:jc w:val="both"/>
        <w:rPr>
          <w:rFonts w:ascii="Helvetica" w:hAnsi="Helvetica" w:eastAsia="Helvetica" w:cs="Helvetica"/>
        </w:rPr>
      </w:pPr>
      <w:r>
        <w:rPr>
          <w:rFonts w:eastAsia="Helvetica" w:cs="Helvetica" w:ascii="Helvetica" w:hAnsi="Helvetica"/>
        </w:rPr>
        <w:t>Incumbents should not receive preferential treatment; the key aspect of any congestion proposal is how the transmission rights are made available initially to market participants.  If this is not implemented correctly, it will not matter what congestion plan is in place.  The Commission has indicated that the rights of the existing users of the system must be addressed.  However, in order for competitive suppliers to bring choice to consumers, suppliers must have the ability to acquire transmission rights, the most efficient way to accomplish this is to auction these rights initially.</w:t>
      </w:r>
    </w:p>
    <w:p>
      <w:pPr>
        <w:pStyle w:val="BodyTextIndent2"/>
        <w:ind w:firstLine="720" w:end="0"/>
        <w:jc w:val="both"/>
        <w:rPr>
          <w:rFonts w:ascii="Helvetica" w:hAnsi="Helvetica" w:eastAsia="Helvetica" w:cs="Helvetica"/>
        </w:rPr>
      </w:pPr>
      <w:r>
        <w:rPr>
          <w:rFonts w:eastAsia="Helvetica" w:cs="Helvetica" w:ascii="Helvetica" w:hAnsi="Helvetica"/>
        </w:rPr>
        <w:t xml:space="preserve"> </w:t>
      </w:r>
      <w:r>
        <w:rPr>
          <w:rFonts w:eastAsia="Helvetica" w:cs="Helvetica" w:ascii="Helvetica" w:hAnsi="Helvetica"/>
        </w:rPr>
        <w:t>The FERC staff concept paper includes the important foundational corner stones of independent RTO service: Offer nondiscriminatory rates, terms and conditions of transmission service under OATT to all transmission customers.  The staff concept paper also fleshes this concept out:</w:t>
      </w:r>
    </w:p>
    <w:p>
      <w:pPr>
        <w:pStyle w:val="BodyTextIndent2"/>
        <w:numPr>
          <w:ilvl w:val="0"/>
          <w:numId w:val="1"/>
        </w:numPr>
        <w:tabs>
          <w:tab w:val="clear" w:pos="720"/>
          <w:tab w:val="left" w:pos="0" w:leader="none"/>
        </w:tabs>
        <w:ind w:hanging="720" w:start="720" w:end="0"/>
        <w:jc w:val="both"/>
        <w:rPr>
          <w:rFonts w:ascii="Helvetica" w:hAnsi="Helvetica" w:eastAsia="Helvetica" w:cs="Helvetica"/>
        </w:rPr>
      </w:pPr>
      <w:r>
        <w:rPr>
          <w:rFonts w:eastAsia="Helvetica" w:cs="Helvetica" w:ascii="Helvetica" w:hAnsi="Helvetica"/>
        </w:rPr>
        <w:t>No preference should be given for particular types of load, e.g. retail versus wholesale</w:t>
      </w:r>
    </w:p>
    <w:p>
      <w:pPr>
        <w:pStyle w:val="BodyTextIndent2"/>
        <w:numPr>
          <w:ilvl w:val="0"/>
          <w:numId w:val="1"/>
        </w:numPr>
        <w:tabs>
          <w:tab w:val="clear" w:pos="720"/>
          <w:tab w:val="left" w:pos="0" w:leader="none"/>
        </w:tabs>
        <w:ind w:hanging="720" w:start="720" w:end="0"/>
        <w:jc w:val="both"/>
        <w:rPr>
          <w:rFonts w:ascii="Helvetica" w:hAnsi="Helvetica" w:eastAsia="Helvetica" w:cs="Helvetica"/>
        </w:rPr>
      </w:pPr>
      <w:r>
        <w:rPr>
          <w:rFonts w:eastAsia="Helvetica" w:cs="Helvetica" w:ascii="Helvetica" w:hAnsi="Helvetica"/>
        </w:rPr>
        <w:t>No preference should be given for transmission owners that are also control areas (e.g. imbalances versus inadvertent, etc.)</w:t>
      </w:r>
    </w:p>
    <w:p>
      <w:pPr>
        <w:pStyle w:val="BodyTextIndent2"/>
        <w:numPr>
          <w:ilvl w:val="0"/>
          <w:numId w:val="1"/>
        </w:numPr>
        <w:tabs>
          <w:tab w:val="clear" w:pos="720"/>
          <w:tab w:val="left" w:pos="0" w:leader="none"/>
        </w:tabs>
        <w:ind w:hanging="720" w:start="720" w:end="0"/>
        <w:jc w:val="both"/>
        <w:rPr>
          <w:rFonts w:ascii="Helvetica" w:hAnsi="Helvetica" w:eastAsia="Helvetica" w:cs="Helvetica"/>
        </w:rPr>
      </w:pPr>
      <w:r>
        <w:rPr>
          <w:rFonts w:eastAsia="Helvetica" w:cs="Helvetica" w:ascii="Helvetica" w:hAnsi="Helvetica"/>
        </w:rPr>
        <w:t>No preferences should be given for transmission reserved by customers for native load versus other loads, e.g., no special rates or conditions for capacity benefit margin or for future load growth</w:t>
      </w:r>
    </w:p>
    <w:p>
      <w:pPr>
        <w:pStyle w:val="BodyTextIndent2"/>
        <w:numPr>
          <w:ilvl w:val="0"/>
          <w:numId w:val="1"/>
        </w:numPr>
        <w:tabs>
          <w:tab w:val="clear" w:pos="720"/>
          <w:tab w:val="left" w:pos="0" w:leader="none"/>
        </w:tabs>
        <w:ind w:hanging="360" w:start="720" w:end="0"/>
        <w:jc w:val="both"/>
        <w:rPr>
          <w:rFonts w:ascii="Helvetica" w:hAnsi="Helvetica" w:eastAsia="Helvetica" w:cs="Helvetica"/>
        </w:rPr>
      </w:pPr>
      <w:r>
        <w:rPr>
          <w:rFonts w:eastAsia="Helvetica" w:cs="Helvetica" w:ascii="Helvetica" w:hAnsi="Helvetica"/>
        </w:rPr>
        <w:t xml:space="preserve">Existing transmission service contracts should be converted to standard RTO transmission rights. The staff concept paper asks how this should be implemented, over what timeframe, and how should fairness to existing contract holders be taken into account.  </w:t>
      </w:r>
    </w:p>
    <w:p>
      <w:pPr>
        <w:pStyle w:val="BodyTextIndent2"/>
        <w:ind w:firstLine="720" w:end="0"/>
        <w:rPr>
          <w:rFonts w:ascii="Helvetica" w:hAnsi="Helvetica" w:eastAsia="Helvetica" w:cs="Helvetica"/>
        </w:rPr>
      </w:pPr>
      <w:r>
        <w:rPr>
          <w:rFonts w:eastAsia="Helvetica" w:cs="Helvetica" w:ascii="Helvetica" w:hAnsi="Helvetica"/>
        </w:rPr>
        <w:t xml:space="preserve">  </w:t>
      </w:r>
      <w:r>
        <w:rPr>
          <w:rFonts w:eastAsia="Helvetica" w:cs="Helvetica" w:ascii="Helvetica" w:hAnsi="Helvetica"/>
        </w:rPr>
        <w:t>An equitable way to shift from an allocation to an auction methodology would be through a short transition period of two to three years that moves an increasing percentage of rights to an auction process.  In each successive year of the transition period, existing users would get a smaller fraction of their initial rights allocations and the remainder of the existing rights would be auctioned, as would any capacity not currently committed.  At the end of the transition period, no rights would be allocated and all capacity would be available in the auction.  This method would allow existing rights holders to acquire additional rights beyond their allocation, at a price, and would “seed” the auction with willing buyers and sellers.  The method would ensure that (to the greatest extent possible) those entities valuing capacity most highly would be able to acquire such capacity.</w:t>
      </w:r>
    </w:p>
    <w:p>
      <w:pPr>
        <w:pStyle w:val="BodyTextIndent2"/>
        <w:ind w:firstLine="720" w:end="0"/>
        <w:jc w:val="center"/>
        <w:rPr>
          <w:rFonts w:ascii="Helvetica" w:hAnsi="Helvetica" w:eastAsia="Helvetica" w:cs="Helvetica"/>
          <w:b/>
          <w:bCs/>
        </w:rPr>
      </w:pPr>
      <w:r>
        <w:rPr>
          <w:rFonts w:eastAsia="Helvetica" w:cs="Helvetica" w:ascii="Helvetica" w:hAnsi="Helvetica"/>
          <w:b/>
          <w:bCs/>
        </w:rPr>
      </w:r>
    </w:p>
    <w:p>
      <w:pPr>
        <w:pStyle w:val="BodyTextIndent2"/>
        <w:ind w:firstLine="720" w:end="0"/>
        <w:jc w:val="center"/>
        <w:rPr>
          <w:rFonts w:ascii="Helvetica" w:hAnsi="Helvetica" w:eastAsia="Helvetica" w:cs="Helvetica"/>
          <w:b/>
          <w:bCs/>
        </w:rPr>
      </w:pPr>
      <w:r>
        <w:rPr>
          <w:rFonts w:eastAsia="Helvetica" w:cs="Helvetica" w:ascii="Helvetica" w:hAnsi="Helvetica"/>
          <w:b/>
          <w:bCs/>
        </w:rPr>
      </w:r>
    </w:p>
    <w:p>
      <w:pPr>
        <w:pStyle w:val="BodyTextIndent2"/>
        <w:ind w:firstLine="720" w:end="0"/>
        <w:jc w:val="center"/>
        <w:rPr>
          <w:rFonts w:ascii="Helvetica" w:hAnsi="Helvetica" w:eastAsia="Helvetica" w:cs="Helvetica"/>
          <w:b/>
          <w:bCs/>
        </w:rPr>
      </w:pPr>
      <w:r>
        <w:rPr>
          <w:rFonts w:eastAsia="Helvetica" w:cs="Helvetica" w:ascii="Helvetica" w:hAnsi="Helvetica"/>
          <w:b/>
          <w:bCs/>
        </w:rPr>
        <w:t>Seams Comments</w:t>
      </w:r>
    </w:p>
    <w:p>
      <w:pPr>
        <w:pStyle w:val="BodyTextIndent2"/>
        <w:ind w:firstLine="720" w:end="0"/>
        <w:rPr>
          <w:rFonts w:ascii="Helvetica" w:hAnsi="Helvetica" w:eastAsia="Helvetica" w:cs="Helvetica"/>
        </w:rPr>
      </w:pPr>
      <w:r>
        <w:rPr>
          <w:rFonts w:eastAsia="Helvetica" w:cs="Helvetica" w:ascii="Helvetica" w:hAnsi="Helvetica"/>
        </w:rPr>
        <w:t>Dynegy recognizes that the western RTOs are working on identifying a common, seamless approach for managing congestion in the western market and that achieving this will be a major accomplishment.  The recent direction by the SSWG-WI and WMIC is a step in the right direction towards a seamless approach.  A lot of details need to be developed to flesh out how this will work once the RTO West congestion management proposal and the new CAISO proposal is fully defined.  While a common congestion management interface across RTOs is necessary, it is not sufficient.  RTO West needs to define its congestion hedge products so that the market can hedge forward across RTOs on a common basis.  A market participant that is interested in bringing supplies from the southwest to the northwest must know up front what congestion cost it is facing and be able to hedge with available RTO products.  The concern is that a participant will be able to pick up an annual congestion hedge in California, but not be able to find matching products in the northwest because the products are not yet defined and/or available given the current RTO West proposal.</w:t>
      </w:r>
    </w:p>
    <w:p>
      <w:pPr>
        <w:pStyle w:val="BodyTextIndent2"/>
        <w:ind w:firstLine="720" w:end="0"/>
        <w:jc w:val="center"/>
        <w:rPr>
          <w:rFonts w:ascii="Helvetica" w:hAnsi="Helvetica" w:eastAsia="Helvetica" w:cs="Helvetica"/>
          <w:b/>
          <w:bCs/>
        </w:rPr>
      </w:pPr>
      <w:r>
        <w:rPr>
          <w:rFonts w:eastAsia="Helvetica" w:cs="Helvetica" w:ascii="Helvetica" w:hAnsi="Helvetica"/>
          <w:b/>
          <w:bCs/>
        </w:rPr>
        <w:t>Summary – Congestion Management</w:t>
      </w:r>
    </w:p>
    <w:p>
      <w:pPr>
        <w:pStyle w:val="BodyTextIndent2"/>
        <w:ind w:firstLine="720" w:end="0"/>
        <w:rPr>
          <w:rFonts w:ascii="Helvetica" w:hAnsi="Helvetica" w:eastAsia="Helvetica" w:cs="Helvetica"/>
        </w:rPr>
      </w:pPr>
      <w:r>
        <w:rPr>
          <w:rFonts w:eastAsia="Helvetica" w:cs="Helvetica" w:ascii="Helvetica" w:hAnsi="Helvetica"/>
        </w:rPr>
        <w:t xml:space="preserve">In summary, the proposed RTO West congestion management conceptual model design is a good start, but it is not sufficient.  Full and open access to transmission products is critical and defining congestion hedge products is imperative.  At this point, Dynegy’s biggest concern is that there will not be sufficient transmission access to the RTO West market to meet the goal of achieving a more efficient regional market that functions within the context of a western energy market.  The bottom line is that the current proposal will result in very little transmission converted to the RTO West tariff.  </w:t>
      </w:r>
    </w:p>
    <w:p>
      <w:pPr>
        <w:pStyle w:val="BodyTextIndent2"/>
        <w:jc w:val="center"/>
        <w:rPr>
          <w:rFonts w:ascii="Helvetica" w:hAnsi="Helvetica" w:eastAsia="Helvetica" w:cs="Helvetica"/>
        </w:rPr>
      </w:pPr>
      <w:r>
        <w:rPr>
          <w:rFonts w:eastAsia="Helvetica" w:cs="Helvetica" w:ascii="Helvetica" w:hAnsi="Helvetica"/>
        </w:rPr>
      </w:r>
    </w:p>
    <w:p>
      <w:pPr>
        <w:pStyle w:val="BodyTextIndent2"/>
        <w:jc w:val="center"/>
        <w:rPr>
          <w:rFonts w:ascii="Helvetica" w:hAnsi="Helvetica" w:eastAsia="Helvetica" w:cs="Helvetica"/>
          <w:b/>
          <w:bCs/>
        </w:rPr>
      </w:pPr>
      <w:r>
        <w:rPr>
          <w:rFonts w:eastAsia="Helvetica" w:cs="Helvetica" w:ascii="Helvetica" w:hAnsi="Helvetica"/>
          <w:b/>
          <w:bCs/>
        </w:rPr>
        <w:t>Pricing</w:t>
      </w:r>
    </w:p>
    <w:p>
      <w:pPr>
        <w:pStyle w:val="BodyTextIndent2"/>
        <w:rPr>
          <w:rFonts w:ascii="Helvetica" w:hAnsi="Helvetica" w:eastAsia="Helvetica" w:cs="Helvetica"/>
        </w:rPr>
      </w:pPr>
      <w:r>
        <w:rPr>
          <w:rFonts w:eastAsia="Helvetica" w:cs="Helvetica" w:ascii="Helvetica" w:hAnsi="Helvetica"/>
        </w:rPr>
        <w:t xml:space="preserve">Details about the RTO West pricing proposal have been made available in order to formulate an opinion.  Dynegy may provide additional comments when the pricing detail is considered with other pieces of the RTO West proposal.   </w:t>
      </w:r>
    </w:p>
    <w:p>
      <w:pPr>
        <w:pStyle w:val="BodyTextIndent2"/>
        <w:rPr>
          <w:rFonts w:ascii="Helvetica" w:hAnsi="Helvetica" w:eastAsia="Helvetica" w:cs="Helvetica"/>
        </w:rPr>
      </w:pPr>
      <w:r>
        <w:rPr>
          <w:rFonts w:eastAsia="Helvetica" w:cs="Helvetica" w:ascii="Helvetica" w:hAnsi="Helvetica"/>
        </w:rPr>
        <w:t>One significant concern Dynegy has identified is with the TO’s proposal to develop a charge to collect non-firm short-term transmission revenues and assess these charges to direct access customers and new entrants, without charging existing customers.  This approach would result in discriminatory treatment among market participants.</w:t>
      </w:r>
    </w:p>
    <w:p>
      <w:pPr>
        <w:pStyle w:val="BodyTextIndent2"/>
        <w:jc w:val="center"/>
        <w:rPr>
          <w:rFonts w:ascii="Helvetica" w:hAnsi="Helvetica" w:eastAsia="Helvetica" w:cs="Helvetica"/>
          <w:b/>
          <w:bCs/>
        </w:rPr>
      </w:pPr>
      <w:r>
        <w:rPr>
          <w:rFonts w:eastAsia="Helvetica" w:cs="Helvetica" w:ascii="Helvetica" w:hAnsi="Helvetica"/>
          <w:b/>
          <w:bCs/>
        </w:rPr>
        <w:t>RTO West Market Monitoring</w:t>
      </w:r>
    </w:p>
    <w:p>
      <w:pPr>
        <w:pStyle w:val="BodyTextIndent2"/>
        <w:rPr>
          <w:rFonts w:ascii="Helvetica" w:hAnsi="Helvetica" w:eastAsia="Helvetica" w:cs="Helvetica"/>
        </w:rPr>
      </w:pPr>
      <w:r>
        <w:rPr>
          <w:rFonts w:eastAsia="Helvetica" w:cs="Helvetica" w:ascii="Helvetica" w:hAnsi="Helvetica"/>
        </w:rPr>
        <w:t xml:space="preserve">Dynegy supports RTO West’s market monitoring efforts and work products to date.  The RTO West facilitation process has been efficient and inclusive.  The work product overall is consistent with the market monitoring approach in MISO and accepted by FERC. </w:t>
      </w:r>
    </w:p>
    <w:p>
      <w:pPr>
        <w:pStyle w:val="BodyTextIndent2"/>
        <w:jc w:val="center"/>
        <w:rPr>
          <w:rFonts w:ascii="Helvetica" w:hAnsi="Helvetica" w:eastAsia="Helvetica" w:cs="Helvetica"/>
          <w:b/>
          <w:bCs/>
        </w:rPr>
      </w:pPr>
      <w:r>
        <w:rPr>
          <w:rFonts w:eastAsia="Helvetica" w:cs="Helvetica" w:ascii="Helvetica" w:hAnsi="Helvetica"/>
          <w:b/>
          <w:bCs/>
        </w:rPr>
        <w:t>Summary</w:t>
      </w:r>
    </w:p>
    <w:p>
      <w:pPr>
        <w:pStyle w:val="BodyTextIndent2"/>
        <w:rPr>
          <w:rFonts w:ascii="Helvetica" w:hAnsi="Helvetica" w:eastAsia="Helvetica" w:cs="Helvetica"/>
        </w:rPr>
      </w:pPr>
      <w:r>
        <w:rPr>
          <w:rFonts w:eastAsia="Helvetica" w:cs="Helvetica" w:ascii="Helvetica" w:hAnsi="Helvetica"/>
        </w:rPr>
        <w:t xml:space="preserve">Dynegy also supports the complementary comments provided by C-FACTS.  Dynegy looks forward to further considering RTO West proposals as they are revised based on feedback. </w:t>
      </w:r>
    </w:p>
    <w:p>
      <w:pPr>
        <w:pStyle w:val="BodyTextIndent2"/>
        <w:jc w:val="center"/>
        <w:rPr>
          <w:rFonts w:ascii="Helvetica" w:hAnsi="Helvetica" w:eastAsia="Helvetica" w:cs="Helvetica"/>
        </w:rPr>
      </w:pPr>
      <w:r>
        <w:rPr>
          <w:rFonts w:eastAsia="Helvetica" w:cs="Helvetica" w:ascii="Helvetica" w:hAnsi="Helvetica"/>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Helvetica">
    <w:altName w:val="Arial"/>
    <w:charset w:val="01"/>
    <w:family w:val="swiss"/>
    <w:pitch w:val="variable"/>
  </w:font>
  <w:font w:name="Wingdings">
    <w:altName w:val="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iCs/>
      </w:rPr>
    </w:pPr>
    <w:r>
      <w:rPr>
        <w:i/>
        <w:iCs/>
      </w:rPr>
      <w:t>Dynegy Comments – RTO West Draft Proposal</w:t>
    </w:r>
  </w:p>
  <w:p>
    <w:pPr>
      <w:pStyle w:val="Header"/>
      <w:rPr>
        <w:i/>
        <w:i/>
        <w:iCs/>
      </w:rPr>
    </w:pPr>
    <w:r>
      <w:rPr>
        <w:i/>
        <w:iCs/>
      </w:rPr>
      <w:t>January 11, 2002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Ø"/>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lineRule="auto" w:line="480"/>
      <w:ind w:firstLine="360" w:start="0" w:end="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2002-01-11T21:51:00Z</dcterms:created>
  <dc:creator>Karen M Shea</dc:creator>
  <dc:description/>
  <dc:language>en-CA</dc:language>
  <cp:lastModifiedBy>Karen M Shea</cp:lastModifiedBy>
  <cp:lastPrinted>2002-01-11T18:12:00Z</cp:lastPrinted>
  <dcterms:modified xsi:type="dcterms:W3CDTF">2002-01-11T21:51:00Z</dcterms:modified>
  <cp:revision>2</cp:revision>
  <dc:subject/>
  <dc:title>Dynegy appreciates the opportunity to provide comments on RTO West draft proposals</dc:title>
</cp:coreProperties>
</file>