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MASTER NETTING, SETOFF,</w:t>
      </w:r>
    </w:p>
    <w:p>
      <w:pPr>
        <w:pStyle w:val="Normal"/>
        <w:jc w:val="center"/>
        <w:rPr>
          <w:b/>
          <w:sz w:val="24"/>
        </w:rPr>
      </w:pPr>
      <w:r>
        <w:rPr>
          <w:b/>
          <w:sz w:val="24"/>
        </w:rPr>
        <w:t>AND SECURITY AGREEMENT</w:t>
      </w:r>
    </w:p>
    <w:p>
      <w:pPr>
        <w:pStyle w:val="Normal"/>
        <w:jc w:val="center"/>
        <w:rPr>
          <w:b/>
          <w:sz w:val="24"/>
          <w:u w:val="single"/>
        </w:rPr>
      </w:pPr>
      <w:r>
        <w:rPr>
          <w:b/>
          <w:sz w:val="24"/>
          <w:u w:val="single"/>
        </w:rPr>
      </w:r>
    </w:p>
    <w:p>
      <w:pPr>
        <w:pStyle w:val="Normal"/>
        <w:jc w:val="both"/>
        <w:rPr>
          <w:b/>
          <w:sz w:val="22"/>
          <w:u w:val="single"/>
        </w:rPr>
      </w:pPr>
      <w:r>
        <w:rPr>
          <w:b/>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is made and entered into effective as of November 8, 2001 by and among Dynegy Marketing and Trade ("</w:t>
      </w:r>
      <w:r>
        <w:rPr>
          <w:sz w:val="22"/>
          <w:u w:val="single"/>
        </w:rPr>
        <w:t>DMT</w:t>
      </w:r>
      <w:r>
        <w:rPr>
          <w:sz w:val="22"/>
        </w:rPr>
        <w:t>"), Dynegy Power Marketing, Inc. ("</w:t>
      </w:r>
      <w:r>
        <w:rPr>
          <w:sz w:val="22"/>
          <w:u w:val="single"/>
        </w:rPr>
        <w:t>DYPM</w:t>
      </w:r>
      <w:r>
        <w:rPr>
          <w:sz w:val="22"/>
        </w:rPr>
        <w:t>"), Dynegy Broadband Marketing and Trade ("</w:t>
      </w:r>
      <w:r>
        <w:rPr>
          <w:sz w:val="22"/>
          <w:u w:val="single"/>
        </w:rPr>
        <w:t>DBMT</w:t>
      </w:r>
      <w:r>
        <w:rPr>
          <w:sz w:val="22"/>
        </w:rPr>
        <w:t>"), Dynegy Canada Inc. ("</w:t>
      </w:r>
      <w:r>
        <w:rPr>
          <w:sz w:val="22"/>
          <w:u w:val="single"/>
        </w:rPr>
        <w:t>DCI</w:t>
      </w:r>
      <w:r>
        <w:rPr>
          <w:sz w:val="22"/>
        </w:rPr>
        <w:t>"), and Dynegy UK Limited ("</w:t>
      </w:r>
      <w:r>
        <w:rPr>
          <w:sz w:val="22"/>
          <w:u w:val="single"/>
        </w:rPr>
        <w:t>DUK</w:t>
      </w:r>
      <w:r>
        <w:rPr>
          <w:sz w:val="22"/>
        </w:rPr>
        <w:t>"), and Enron North America Corp. ("</w:t>
      </w:r>
      <w:r>
        <w:rPr>
          <w:sz w:val="22"/>
          <w:u w:val="single"/>
        </w:rPr>
        <w:t>ENA</w:t>
      </w:r>
      <w:r>
        <w:rPr>
          <w:sz w:val="22"/>
        </w:rPr>
        <w:t>"), Enron Power Marketing, Inc. ("</w:t>
      </w:r>
      <w:r>
        <w:rPr>
          <w:sz w:val="22"/>
          <w:u w:val="single"/>
        </w:rPr>
        <w:t>EPMI</w:t>
      </w:r>
      <w:r>
        <w:rPr>
          <w:sz w:val="22"/>
        </w:rPr>
        <w:t>"), Enron Energy Services, Inc. ("</w:t>
      </w:r>
      <w:r>
        <w:rPr>
          <w:sz w:val="22"/>
          <w:u w:val="single"/>
        </w:rPr>
        <w:t>EES</w:t>
      </w:r>
      <w:r>
        <w:rPr>
          <w:sz w:val="22"/>
        </w:rPr>
        <w:t>"), Enron Capital &amp; Trade Resources International, Inc. ("</w:t>
      </w:r>
      <w:r>
        <w:rPr>
          <w:sz w:val="22"/>
          <w:u w:val="single"/>
        </w:rPr>
        <w:t>ECTRIC</w:t>
      </w:r>
      <w:r>
        <w:rPr>
          <w:sz w:val="22"/>
        </w:rPr>
        <w:t>"), Enron Capital &amp; Trade Resources Ltd. ("</w:t>
      </w:r>
      <w:r>
        <w:rPr>
          <w:sz w:val="22"/>
          <w:u w:val="single"/>
        </w:rPr>
        <w:t>ECTRL</w:t>
      </w:r>
      <w:r>
        <w:rPr>
          <w:sz w:val="22"/>
        </w:rPr>
        <w:t>"), Enron Broadband Services, L.P. ("</w:t>
      </w:r>
      <w:r>
        <w:rPr>
          <w:sz w:val="22"/>
          <w:u w:val="single"/>
        </w:rPr>
        <w:t>EBS</w:t>
      </w:r>
      <w:r>
        <w:rPr>
          <w:sz w:val="22"/>
        </w:rPr>
        <w:t>"), and Enron Canada Corp.("</w:t>
      </w:r>
      <w:r>
        <w:rPr>
          <w:sz w:val="22"/>
          <w:u w:val="single"/>
        </w:rPr>
        <w:t>ECC</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Normal"/>
        <w:jc w:val="both"/>
        <w:rPr>
          <w:sz w:val="22"/>
        </w:rPr>
      </w:pPr>
      <w:r>
        <w:rPr>
          <w:sz w:val="22"/>
        </w:rPr>
        <w:t xml:space="preserve">The Parties (as defined) have had substantial business relationships over time and the entry into this Agreement by ENA, EPMI, EES, ECTRIC, ECTRL, EBS, and ECC is a material inducement to DMT, DYPM, DBMT, DCI, and DUK and the other members of the Counterparty Group (as defined) to continue to doing business with the members of the Enron Group (as defined). </w:t>
      </w:r>
    </w:p>
    <w:p>
      <w:pPr>
        <w:pStyle w:val="Normal"/>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Simultaneous with the execution of this Agreement and as a material inducement to DMT, DYPM, DBMT, DCI, and DUK entering into this Agreement, Enron Corp. is entering into the Enron Group Guaranty Agreement by which Enron Corp. is to guarantee the obligations of each member of the Enron Group hereunder.</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The Enron Parties (defined below) and the Counterparty Parties (defined below) acknowledge that they each enter into this Agreement in the normal course of business in order to mitigate potential credit risk that may arise in connection with the number and scope of Underlying Master Agreements (defined below) that are currently in force, or in the future may be in force, between or among the Parties.</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DMT have entered into that certain ISDA Master Agreement dated effective as of January 27, 1992 (as the same may have been or may be amended, restated, supplemented, or otherwise modified from time to time, and including all Transactions, schedules, annexes, and confirmations thereunder, collectively, the "</w:t>
      </w:r>
      <w:r>
        <w:rPr>
          <w:sz w:val="22"/>
          <w:u w:val="single"/>
        </w:rPr>
        <w:t>DMT 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sz w:val="22"/>
          <w:u w:val="single"/>
        </w:rPr>
        <w:t>Gas EFP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"Physical </w:t>
      </w:r>
      <w:r>
        <w:rPr>
          <w:sz w:val="22"/>
          <w:u w:val="single"/>
        </w:rPr>
        <w:t>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Coal Purchase and Sale Agreement dated as of February 16, 2000 (as the same may have been or may be amended, restated, supplemented, or otherwise modified from time to time, and including all Transactions, schedules, annexes, and confirmations thereunder, the "Coal</w:t>
      </w:r>
      <w:r>
        <w:rPr>
          <w:sz w:val="22"/>
          <w:u w:val="single"/>
        </w:rPr>
        <w:t xml:space="preserve">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pPr>
      <w:r>
        <w:rPr>
          <w:sz w:val="22"/>
        </w:rPr>
        <w:t xml:space="preserve">EES and DMT have entered into that certain Base Contract for Short-Term Sale and Purchase of Natural Gas dated as of _April 1, 2001 (as the same may have been or may be amended, restated, supplemented, or otherwise modified from time to time, and including all Transactions, schedules, special provisions, annexes, and confirmations thereunder, the "GISB </w:t>
      </w:r>
      <w:r>
        <w:rPr>
          <w:sz w:val="22"/>
          <w:u w:val="single"/>
        </w:rPr>
        <w:t>Physical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DYPM have entered into that certain Master Energy Purchase and Sale Agreement dated as of February 1, 1999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DYPM have entered into that certain Western Systems Power Pool Agreement dated as of July 1, 2001 (as the same may have been or may be amended, restated, supplemented, or otherwise modified from time to time, and including all Transactions, schedules, annexes, and confirmations thereunder, the "WSPP </w:t>
      </w:r>
      <w:r>
        <w:rPr>
          <w:sz w:val="22"/>
          <w:u w:val="single"/>
        </w:rPr>
        <w:t>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EBS and DBMT have entered into that certain Master Agreement dated as of October 10, 2001 (as the same may have been or may be amended, restated, supplemented, or otherwise modified from time to time, and including all Transactions, schedules, annexes, and confirmations thereunder, the "Broadband Master Agreement").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ECC and DCI have entered into that certain ISDA Master Agreement dated effective as of June 16, 1995 (as the same may have been or may be amended, restated, supplemented, or otherwise modified from time to time, and including all Transactions, schedules, annexes, and confirmations thereunder, collectively, the "DCI</w:t>
      </w:r>
      <w:r>
        <w:rPr>
          <w:sz w:val="22"/>
          <w:u w:val="single"/>
        </w:rPr>
        <w:t xml:space="preserve"> Financial Master Agreement</w:t>
      </w:r>
      <w:r>
        <w:rPr>
          <w:sz w:val="22"/>
        </w:rPr>
        <w:t>").</w:t>
      </w:r>
      <w:r>
        <w:rPr>
          <w:b/>
          <w:sz w:val="22"/>
        </w:rPr>
        <w:t xml:space="preserve"> </w:t>
      </w:r>
    </w:p>
    <w:p>
      <w:pPr>
        <w:pStyle w:val="OmniPage2"/>
        <w:tabs>
          <w:tab w:val="clear" w:pos="720"/>
          <w:tab w:val="left" w:pos="795" w:leader="none"/>
          <w:tab w:val="left" w:pos="1500" w:leader="none"/>
          <w:tab w:val="left" w:pos="1830" w:leader="none"/>
          <w:tab w:val="right" w:pos="9406" w:leader="none"/>
        </w:tabs>
        <w:jc w:val="both"/>
        <w:rPr>
          <w:b/>
          <w:sz w:val="22"/>
        </w:rPr>
      </w:pPr>
      <w:r>
        <w:rPr>
          <w:b/>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ECTRL and DUK have entered into that certain Zeebrugge Natural Gas Trading Term and Conditions (ZBT 99) dated as of December 16, 1999 (per an Amendment) (as the same may have been or may be amended, restated, supplemented, or otherwise modified from time to time, and including all Transactions, schedules, annexes, and confirmations thereunder, the "European ZBT </w:t>
      </w:r>
      <w:r>
        <w:rPr>
          <w:sz w:val="22"/>
          <w:u w:val="single"/>
        </w:rPr>
        <w:t>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ECTRL and DUK have entered into that certain Master Gas Agreement for Beach and NBP Trades dated as of July 28, 1997 (as the same may have been or may be amended, restated, supplemented, or otherwise modified from time to time, and including all Transactions, schedules, annexes, and confirmations thereunder, the "European Beach/NBP </w:t>
      </w:r>
      <w:r>
        <w:rPr>
          <w:sz w:val="22"/>
          <w:u w:val="single"/>
        </w:rPr>
        <w:t>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ECTRIC, ECTRL and DUK have entered into that certain Grid Trade Master Agreement dated as of March 6, 2001 (as the same may have been or may be amended, restated, supplemented, or otherwise modified from time to time, and including all Transactions, schedules, annexes, and confirmations thereunder, the "European Grid Power </w:t>
      </w:r>
      <w:r>
        <w:rPr>
          <w:sz w:val="22"/>
          <w:u w:val="single"/>
        </w:rPr>
        <w:t>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ECTRIC, ECTRL and DUK have entered into that certain Electricity Forward Agreement (as the same may have been or may be amended, restated, supplemented, or otherwise modified from time to time, and including all Transactions, schedules, annexes, and confirmations thereunder, the "European EFA </w:t>
      </w:r>
      <w:r>
        <w:rPr>
          <w:sz w:val="22"/>
          <w:u w:val="single"/>
        </w:rPr>
        <w:t>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Various Enron Parties (as defined)</w:t>
      </w:r>
      <w:r>
        <w:rPr>
          <w:b/>
          <w:sz w:val="22"/>
        </w:rPr>
        <w:t xml:space="preserve"> </w:t>
      </w:r>
      <w:r>
        <w:rPr>
          <w:sz w:val="22"/>
        </w:rPr>
        <w:t>and various Counterparty Parties (as defined) have entered into various confirmations and general terms and conditions in the nature of "forward contracts"</w:t>
      </w:r>
      <w:r>
        <w:rPr>
          <w:b/>
          <w:sz w:val="22"/>
        </w:rPr>
        <w:t xml:space="preserve"> </w:t>
      </w:r>
      <w:r>
        <w:rPr>
          <w:sz w:val="22"/>
        </w:rPr>
        <w:t>and</w:t>
      </w:r>
      <w:r>
        <w:rPr>
          <w:b/>
          <w:sz w:val="22"/>
        </w:rPr>
        <w:t xml:space="preserve"> </w:t>
      </w:r>
      <w:r>
        <w:rPr>
          <w:sz w:val="22"/>
        </w:rPr>
        <w:t>"swap agreements"</w:t>
      </w:r>
      <w:r>
        <w:rPr>
          <w:b/>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DMT Financial Master Agreement, the Gas EFP Master Agreement, the Physical Gas Master Agreement, the Coal Master Agreement, the GISB </w:t>
      </w:r>
      <w:r>
        <w:rPr>
          <w:sz w:val="22"/>
          <w:u w:val="single"/>
        </w:rPr>
        <w:t xml:space="preserve">Physical Gas Master Agreement, </w:t>
      </w:r>
      <w:r>
        <w:rPr>
          <w:sz w:val="22"/>
        </w:rPr>
        <w:t>the Physical Power Master Agreement, the WSPP Power Master Agreement, the Broadband Master Agreement, the DCI Financial Master Agreement, the European ZBT Gas Master Agreement, the European Beach/NBP Gas Master Agreement, the European Grid Power Master Agreement, the European EFA Master Agreement, and any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(as defined)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sz w:val="22"/>
        </w:rPr>
        <w:t>(Canada),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15.</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b/>
          <w:sz w:val="22"/>
        </w:rPr>
      </w:pPr>
      <w:r>
        <w:rPr>
          <w:sz w:val="22"/>
        </w:rPr>
        <w:t>"</w:t>
      </w:r>
      <w:r>
        <w:rPr>
          <w:sz w:val="22"/>
          <w:u w:val="single"/>
        </w:rPr>
        <w:t>Counterparty Group Guaranty Agreement</w:t>
      </w:r>
      <w:r>
        <w:rPr>
          <w:sz w:val="22"/>
        </w:rPr>
        <w:t>" means the guaranty agreement of Dynegy Holdings Inc. to be delivered to Enron Group pursuant to this Agreement.</w:t>
      </w:r>
    </w:p>
    <w:p>
      <w:pPr>
        <w:pStyle w:val="Normal"/>
        <w:jc w:val="both"/>
        <w:rPr>
          <w:b/>
          <w:sz w:val="22"/>
        </w:rPr>
      </w:pPr>
      <w:r>
        <w:rPr>
          <w:b/>
          <w:sz w:val="22"/>
        </w:rPr>
      </w:r>
    </w:p>
    <w:p>
      <w:pPr>
        <w:pStyle w:val="OmniPage5"/>
        <w:ind w:firstLine="720" w:end="0"/>
        <w:jc w:val="both"/>
        <w:rPr/>
      </w:pPr>
      <w:r>
        <w:rPr>
          <w:sz w:val="22"/>
        </w:rPr>
        <w:t>"</w:t>
      </w:r>
      <w:r>
        <w:rPr>
          <w:sz w:val="22"/>
          <w:u w:val="single"/>
        </w:rPr>
        <w:t>Counterparty Party</w:t>
      </w:r>
      <w:r>
        <w:rPr>
          <w:sz w:val="22"/>
        </w:rPr>
        <w:t>" means any of DMT, DYPM, DBMT, DCI, and DUK.</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b/>
          <w:sz w:val="22"/>
        </w:rPr>
      </w:pPr>
      <w:r>
        <w:rPr>
          <w:sz w:val="22"/>
        </w:rPr>
        <w:t>"</w:t>
      </w:r>
      <w:r>
        <w:rPr>
          <w:sz w:val="22"/>
          <w:u w:val="single"/>
        </w:rPr>
        <w:t>Enron Group Guaranty Agreement</w:t>
      </w:r>
      <w:r>
        <w:rPr>
          <w:sz w:val="22"/>
        </w:rPr>
        <w:t>" means the guaranty agreement of Enron Corp. to be delivered to Counterparty Group pursuant to this Agreement.</w:t>
      </w:r>
    </w:p>
    <w:p>
      <w:pPr>
        <w:pStyle w:val="OmniPage5"/>
        <w:ind w:firstLine="710" w:start="50" w:end="100"/>
        <w:jc w:val="both"/>
        <w:rPr>
          <w:b/>
          <w:sz w:val="22"/>
          <w:u w:val="single"/>
        </w:rPr>
      </w:pPr>
      <w:r>
        <w:rPr>
          <w:b/>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EPMI, EES, ECTRIC, ECTRL, EBS, and ECC.</w:t>
      </w:r>
      <w:r>
        <w:rPr>
          <w:b/>
          <w:sz w:val="22"/>
        </w:rPr>
        <w:t xml:space="preserve"> </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sz w:val="22"/>
        </w:rPr>
      </w:pPr>
      <w:r>
        <w:rPr>
          <w:sz w:val="22"/>
        </w:rPr>
        <w:t>"</w:t>
      </w:r>
      <w:r>
        <w:rPr>
          <w:sz w:val="22"/>
          <w:u w:val="single"/>
        </w:rPr>
        <w:t>Guarantor</w:t>
      </w:r>
      <w:r>
        <w:rPr>
          <w:sz w:val="22"/>
        </w:rPr>
        <w:t>" means with respect to Enron Group, Enron Corp., and with respect to Counterparty Group, Dynegy Holdings Inc.</w:t>
      </w:r>
    </w:p>
    <w:p>
      <w:pPr>
        <w:pStyle w:val="OmniPage5"/>
        <w:ind w:firstLine="710" w:start="50" w:end="100"/>
        <w:jc w:val="both"/>
        <w:rPr>
          <w:b/>
          <w:sz w:val="22"/>
        </w:rPr>
      </w:pPr>
      <w:r>
        <w:rPr>
          <w:b/>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Affiliate has provided to any Enron Party or that any Enron Party Affiliate has provided to any Counterparty Party, orin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the Enron Parties or the Counterparty Parties,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Paying Parties</w:t>
      </w:r>
      <w:r>
        <w:rPr>
          <w:sz w:val="22"/>
        </w:rPr>
        <w:t>" means either the Enron Parties or the Counterparty Parties, as applicable, paying the "Final Settlement Amount" under Section 4 of this Agreement.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w:t>
      </w:r>
      <w:r>
        <w:rPr>
          <w:sz w:val="22"/>
          <w:u w:val="single"/>
        </w:rPr>
        <w:t>United States Bankruptcy Code</w:t>
      </w:r>
      <w:r>
        <w:rPr>
          <w:sz w:val="22"/>
        </w:rPr>
        <w:t xml:space="preserve">" means title 11 of the United States Bankruptcy Code, Sections 101, </w:t>
      </w:r>
      <w:r>
        <w:rPr>
          <w:i/>
          <w:sz w:val="22"/>
        </w:rPr>
        <w:t>et seq</w:t>
      </w:r>
      <w:r>
        <w:rPr>
          <w:sz w:val="22"/>
        </w:rPr>
        <w:t>.</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to apply collateral pursuant to all rights granted, and as specified in, its Underlying Master Agreements, and exercise rights of setoff, netting, and/or recoupment in accordance with the terms of its Underlying Master Agreements; (iii) with respect to each Defaulting Party, withhold payment and performance of each Non-defaulting Party's Obligations to each Defaulting Party to pay, secure, setoff against, net, and/or recoup such Defaulting Party's Obligations to such Non-defaulting Party; (iv) convert any Obligation from one currency into another currency as set forth in Section 5; and (v)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sz w:val="22"/>
        </w:rPr>
        <w:tab/>
      </w:r>
    </w:p>
    <w:p>
      <w:pPr>
        <w:pStyle w:val="OmniPage5"/>
        <w:tabs>
          <w:tab w:val="left" w:pos="720" w:leader="none"/>
          <w:tab w:val="right" w:pos="9389" w:leader="none"/>
        </w:tabs>
        <w:jc w:val="both"/>
        <w:rPr/>
      </w:pPr>
      <w:r>
        <w:rPr>
          <w:b/>
          <w:sz w:val="22"/>
        </w:rPr>
        <w:tab/>
        <w:t xml:space="preserve">4.  Settlement.  </w:t>
      </w:r>
      <w:r>
        <w:rPr>
          <w:sz w:val="22"/>
        </w:rPr>
        <w:t>Upon Non-defaulting Group's exercise of the Underlying Master Agreements Close-Out, the Settlement Amounts under the Underlying Master Agreements shall be netted and reduced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jointly and severally either by the Enron Parties or by the Counterparty Parties, respectively, from whom such payment is due (the "Paying Parties") on the third Business Day after the statement is provided.  In the event of a dispute as to the Final Settlement Amount payable by the Paying Parties , such Paying Parties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36"/>
        <w:jc w:val="both"/>
        <w:rPr/>
      </w:pPr>
      <w:r>
        <w:rPr>
          <w:b/>
          <w:sz w:val="22"/>
        </w:rPr>
        <w:t xml:space="preserve">6.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7.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8.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9.  Waiver and Process.  </w:t>
      </w:r>
      <w:r>
        <w:rPr>
          <w:sz w:val="22"/>
        </w:rPr>
        <w:t>Any provisions in the Underlying Master Agreements regarding waiver of immunity and process shall apply to this Agreement in the same manner and to the same extent as if such references were contained in this Agreement.  THE PARTIES EACH HEREBY AGREE TO WAIVE THEIR RESPECTIVE RIGHTS TO JURY TRIAL OF ANY DISPUTE BASED UPON OR ARISING OUT OF THIS AGREEMENT OR ANY OTHER AGREEMENTS RELATING HERETO OR ANY DEALINGS AMONG THEM RELATING TO THE TRANSACTIONS.</w:t>
      </w:r>
    </w:p>
    <w:p>
      <w:pPr>
        <w:pStyle w:val="Normal"/>
        <w:jc w:val="both"/>
        <w:rPr>
          <w:sz w:val="22"/>
        </w:rPr>
      </w:pPr>
      <w:r>
        <w:rPr>
          <w:sz w:val="22"/>
        </w:rPr>
      </w:r>
    </w:p>
    <w:p>
      <w:pPr>
        <w:pStyle w:val="OmniPage5"/>
        <w:ind w:firstLine="722" w:start="88" w:end="136"/>
        <w:jc w:val="both"/>
        <w:rPr/>
      </w:pPr>
      <w:r>
        <w:rPr>
          <w:b/>
          <w:sz w:val="22"/>
        </w:rPr>
        <w:t>10.</w:t>
      </w:r>
      <w:r>
        <w:rPr>
          <w:sz w:val="22"/>
        </w:rPr>
        <w:t xml:space="preserve">  </w:t>
      </w:r>
      <w:r>
        <w:rPr>
          <w:b/>
          <w:sz w:val="22"/>
        </w:rPr>
        <w:t xml:space="preserve">Assignment and Amendment.  </w:t>
      </w:r>
      <w:r>
        <w:rPr>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(d)  Any purported assignment or other transfer that is not in compliance herewith shall be void.</w:t>
      </w:r>
    </w:p>
    <w:p>
      <w:pPr>
        <w:pStyle w:val="OmniPage5"/>
        <w:ind w:firstLine="722" w:start="88" w:end="136"/>
        <w:jc w:val="both"/>
        <w:rPr>
          <w:sz w:val="22"/>
        </w:rPr>
      </w:pPr>
      <w:r>
        <w:rPr>
          <w:sz w:val="22"/>
        </w:rPr>
      </w:r>
    </w:p>
    <w:p>
      <w:pPr>
        <w:pStyle w:val="OmniPage5"/>
        <w:ind w:firstLine="722" w:start="88" w:end="136"/>
        <w:jc w:val="both"/>
        <w:rPr>
          <w:sz w:val="22"/>
        </w:rPr>
      </w:pPr>
      <w:r>
        <w:rPr>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sz w:val="22"/>
        </w:rPr>
      </w:pPr>
      <w:r>
        <w:rPr>
          <w:sz w:val="22"/>
        </w:rPr>
      </w:r>
    </w:p>
    <w:p>
      <w:pPr>
        <w:pStyle w:val="OmniPage5"/>
        <w:ind w:firstLine="722" w:start="100" w:end="138"/>
        <w:jc w:val="both"/>
        <w:rPr/>
      </w:pPr>
      <w:r>
        <w:rPr>
          <w:b/>
          <w:sz w:val="22"/>
        </w:rPr>
        <w:t>11.</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w:t>
      </w:r>
    </w:p>
    <w:p>
      <w:pPr>
        <w:pStyle w:val="Normal"/>
        <w:keepNext w:val="true"/>
        <w:spacing w:lineRule="exact" w:line="240" w:before="240" w:after="0"/>
        <w:ind w:hanging="720" w:start="720" w:end="0"/>
        <w:jc w:val="both"/>
        <w:rPr>
          <w:sz w:val="22"/>
        </w:rPr>
      </w:pPr>
      <w:r>
        <w:rPr>
          <w:sz w:val="22"/>
        </w:rPr>
        <w:t>Address for notices or communications to Enron Group:</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sz w:val="22"/>
        </w:rPr>
      </w:pPr>
      <w:r>
        <w:rPr>
          <w:sz w:val="22"/>
        </w:rPr>
        <w:t>A copy of any notice sent to Enron Group pursuant to Section 2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Dynegy Marketing and Trade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1000 Louisiana, Suite 5800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Houston, Texas 77002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Attn.:  Credit Manager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713-507-3786</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713-507-6400</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sz w:val="22"/>
        </w:rPr>
        <w:t>12.</w:t>
      </w:r>
      <w:r>
        <w:rPr>
          <w:sz w:val="22"/>
        </w:rPr>
        <w:t xml:space="preserve">  </w:t>
      </w:r>
      <w:r>
        <w:rPr>
          <w:b/>
          <w:sz w:val="22"/>
        </w:rPr>
        <w:t xml:space="preserve">Conflicts and Inconsistencies; Confidentiality.  </w:t>
      </w:r>
      <w:r>
        <w:rPr>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13.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13(c), the provisions of this Agreement will be deemed severable and the invalidity or unenforceability of any provision will not affect the validity or enforceability of the other provisions hereof; provided that if any provision of this Agreement, as applied to any party or to any circumstance, is adjudged by a governmental body, arbitrator, or mediator not to be enforceable in accordance with its terms, the parties agree that the governmental body, arbitrator, or mediator making such determination will have the power to modify the provision in a manner consistent with its objectives such that it is enforceable, and/or to delete specific words or phrases, and in its reduced form, such provision will then be enforceable and will be enforced.</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14.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rPr>
      </w:pPr>
      <w:r>
        <w:rPr>
          <w:sz w:val="22"/>
        </w:rPr>
        <w:tab/>
      </w:r>
      <w:r>
        <w:rPr>
          <w:b/>
          <w:sz w:val="22"/>
        </w:rPr>
        <w:t xml:space="preserve">15.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xml:space="preserve">")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w:t>
      </w:r>
      <w:r>
        <w:rPr>
          <w:spacing w:val="-3"/>
          <w:sz w:val="22"/>
        </w:rPr>
        <w:t xml:space="preserve">The arbitrators shall have the authority to establish rules and procedures governing the arbitration hearing.  The three arbitrators shall commence the arbitration hearing within thirty days following the appointment of the third arbitrator, or on a later date designated by the Parties.  Each Party shall have an opportunity to present its evidence at the hearing.  The arbitrators’ decision must be rendered within thirty days following the conclusion of the hearing or submission of evidence, but no later than ninety days after appointment of the third arbitrator.  </w:t>
      </w:r>
      <w:r>
        <w:rPr>
          <w:sz w:val="22"/>
        </w:rPr>
        <w:t>To the fullest extent permitted by law, a</w:t>
      </w:r>
      <w:r>
        <w:rPr>
          <w:spacing w:val="-3"/>
          <w:sz w:val="22"/>
        </w:rPr>
        <w:t xml:space="preserve">ll documents associated with any arbitration proceeding, all evidence submitted during any arbitration proceeding, all testimony presented during </w:t>
      </w:r>
      <w:r>
        <w:rPr>
          <w:sz w:val="22"/>
        </w:rPr>
        <w:t xml:space="preserve">any arbitration proceeding and the arbitrators' award shall be maintained in confidence by the Parties.  </w:t>
      </w:r>
      <w:r>
        <w:rPr>
          <w:spacing w:val="-3"/>
          <w:sz w:val="22"/>
        </w:rPr>
        <w:t>The decision of the arbitrators, or a majority of them, shall be in writing and shall be final and binding upon the Parties as to any issues submitted.  Each Party shall bear the expense and cost of its arbitrator and one-half of the expense and cost of the third arbitrator.  Each Party shall also bear its own expenses related to the arbitration, including attorneys’ fees, expert fees, and other expenses.</w:t>
      </w:r>
    </w:p>
    <w:p>
      <w:pPr>
        <w:pStyle w:val="Normal"/>
        <w:tabs>
          <w:tab w:val="left" w:pos="720" w:leader="none"/>
          <w:tab w:val="left" w:pos="1260" w:leader="none"/>
        </w:tabs>
        <w:jc w:val="both"/>
        <w:rPr>
          <w:b/>
          <w:color w:val="FF0000"/>
          <w:sz w:val="22"/>
        </w:rPr>
      </w:pPr>
      <w:r>
        <w:rPr>
          <w:b/>
          <w:color w:val="FF0000"/>
          <w:sz w:val="22"/>
        </w:rPr>
      </w:r>
    </w:p>
    <w:p>
      <w:pPr>
        <w:pStyle w:val="Normal"/>
        <w:tabs>
          <w:tab w:val="left" w:pos="720" w:leader="none"/>
          <w:tab w:val="left" w:pos="1260" w:leader="none"/>
        </w:tabs>
        <w:jc w:val="both"/>
        <w:rPr/>
      </w:pPr>
      <w:r>
        <w:rPr>
          <w:b/>
          <w:sz w:val="22"/>
        </w:rPr>
        <w:tab/>
        <w:t>17.  Term.</w:t>
      </w:r>
      <w:r>
        <w:rPr>
          <w:sz w:val="22"/>
        </w:rPr>
        <w:t xml:space="preserve">  This Agreement shall continue in effect from the date hereof </w:t>
      </w:r>
      <w:r>
        <w:rPr>
          <w:sz w:val="22"/>
          <w:szCs w:val="22"/>
        </w:rPr>
        <w:t>through February 28,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sz w:val="22"/>
        </w:rPr>
      </w:pPr>
      <w:r>
        <w:rPr>
          <w:b/>
          <w:sz w:val="22"/>
        </w:rPr>
      </w:r>
    </w:p>
    <w:p>
      <w:pPr>
        <w:pStyle w:val="Normal"/>
        <w:tabs>
          <w:tab w:val="left" w:pos="720" w:leader="none"/>
          <w:tab w:val="left" w:pos="1260" w:leader="none"/>
        </w:tabs>
        <w:jc w:val="both"/>
        <w:rPr/>
      </w:pPr>
      <w:r>
        <w:rPr>
          <w:b/>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t>"ENRON GROUP"</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ENERGY SERVICES,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CAPITAL &amp; TRADE RESOURCES INTERNATIONAL,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r>
        <w:br w:type="page"/>
      </w:r>
    </w:p>
    <w:p>
      <w:pPr>
        <w:pStyle w:val="Normal"/>
        <w:jc w:val="both"/>
        <w:rPr>
          <w:b/>
          <w:sz w:val="22"/>
        </w:rPr>
      </w:pPr>
      <w:r>
        <w:rPr>
          <w:b/>
          <w:sz w:val="22"/>
        </w:rPr>
        <w:t>ENRON CAPITAL &amp; TRADE RESOURCES LTD.</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BROADBAND SERVICES, L.P.,</w:t>
      </w:r>
    </w:p>
    <w:p>
      <w:pPr>
        <w:pStyle w:val="Normal"/>
        <w:jc w:val="both"/>
        <w:rPr/>
      </w:pPr>
      <w:r>
        <w:rPr>
          <w:sz w:val="22"/>
        </w:rPr>
        <w:t xml:space="preserve">By </w:t>
      </w:r>
      <w:r>
        <w:rPr>
          <w:b/>
          <w:sz w:val="22"/>
        </w:rPr>
        <w:t>ENRON BANDWIDTH, INC</w:t>
      </w:r>
      <w:r>
        <w:rPr>
          <w:sz w:val="22"/>
        </w:rPr>
        <w:t>., its General Partner</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pPr>
      <w:r>
        <w:rPr>
          <w:b/>
          <w:sz w:val="22"/>
        </w:rPr>
        <w:t>ENRON CANADA CORP.</w:t>
      </w:r>
      <w:r>
        <w:rPr>
          <w:sz w:val="22"/>
        </w:rPr>
        <w:t xml:space="preserve"> </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"COUNTERPARTY GROUP"</w:t>
      </w:r>
    </w:p>
    <w:p>
      <w:pPr>
        <w:pStyle w:val="Normal"/>
        <w:jc w:val="both"/>
        <w:rPr>
          <w:b/>
          <w:sz w:val="22"/>
        </w:rPr>
      </w:pPr>
      <w:r>
        <w:rPr>
          <w:b/>
          <w:sz w:val="22"/>
        </w:rPr>
      </w:r>
    </w:p>
    <w:p>
      <w:pPr>
        <w:pStyle w:val="Heading1"/>
        <w:ind w:hanging="0" w:start="0"/>
        <w:rPr/>
      </w:pPr>
      <w:r>
        <w:rPr>
          <w:rPrChange w:id="0" w:author="Unknown" w:date="0-00-00T00:00:00Z"/>
        </w:rPr>
        <w:t>DYNEGY MARKETING AND TRADE</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Colorado</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Texas</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r>
        <w:br w:type="page"/>
      </w:r>
    </w:p>
    <w:p>
      <w:pPr>
        <w:pStyle w:val="Normal"/>
        <w:jc w:val="both"/>
        <w:rPr>
          <w:b/>
          <w:sz w:val="22"/>
        </w:rPr>
      </w:pPr>
      <w:r>
        <w:rPr>
          <w:b/>
          <w:sz w:val="22"/>
        </w:rPr>
        <w:t>DYNEGY BROADBAND MARKETING AND TRADE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CANADA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Canada</w:t>
      </w:r>
    </w:p>
    <w:p>
      <w:pPr>
        <w:pStyle w:val="Normal"/>
        <w:rPr/>
      </w:pPr>
      <w:r>
        <w:rPr>
          <w:sz w:val="22"/>
        </w:rPr>
        <w:t>Location of chief executive office: 350 7</w:t>
      </w:r>
      <w:r>
        <w:rPr>
          <w:sz w:val="22"/>
          <w:vertAlign w:val="superscript"/>
        </w:rPr>
        <w:t>th</w:t>
      </w:r>
      <w:r>
        <w:rPr>
          <w:sz w:val="22"/>
        </w:rPr>
        <w:t xml:space="preserve"> Ave. SW Suite 2200, Calgary, Alberta T2P 3N9 Canada</w:t>
        <w:br/>
      </w:r>
    </w:p>
    <w:p>
      <w:pPr>
        <w:pStyle w:val="Heading1"/>
        <w:ind w:hanging="0" w:start="0"/>
        <w:rPr/>
      </w:pPr>
      <w:r>
        <w:rPr>
          <w:rPrChange w:id="0" w:author="Unknown" w:date="2001-11-08T14:31:00Z"/>
        </w:rPr>
        <w:t>DYNEGY UK LIMITED</w:t>
      </w:r>
    </w:p>
    <w:p>
      <w:pPr>
        <w:pStyle w:val="Normal"/>
        <w:rPr/>
      </w:pPr>
      <w:r>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London, England</w:t>
      </w:r>
    </w:p>
    <w:p>
      <w:pPr>
        <w:pStyle w:val="Normal"/>
        <w:rPr/>
      </w:pPr>
      <w:r>
        <w:rPr>
          <w:sz w:val="22"/>
        </w:rPr>
        <w:t xml:space="preserve">Location of chief executive office: 4 Grosvenor Place, London, England SW1X </w:t>
      </w:r>
      <w:r>
        <w:rPr>
          <w:color w:val="000000"/>
          <w:sz w:val="22"/>
        </w:rPr>
        <w:t>7HJ</w:t>
      </w:r>
    </w:p>
    <w:p>
      <w:pPr>
        <w:pStyle w:val="Normal"/>
        <w:jc w:val="both"/>
        <w:rPr>
          <w:sz w:val="22"/>
        </w:rPr>
      </w:pPr>
      <w:r>
        <w:rPr>
          <w:b/>
          <w:sz w:val="22"/>
        </w:rPr>
        <w:t xml:space="preserve"> </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/mnt/main-storage/datasets/enron-docs/doc/Dyn_Enron_Mstr_Net_11_8_Final_a.doc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2001-11-08T22:00:00Z</dcterms:created>
  <dc:creator>mcook</dc:creator>
  <dc:description/>
  <dc:language>en-CA</dc:language>
  <cp:lastModifiedBy>mcook</cp:lastModifiedBy>
  <cp:lastPrinted>2001-11-08T19:48:00Z</cp:lastPrinted>
  <dcterms:modified xsi:type="dcterms:W3CDTF">2001-11-08T23:31:00Z</dcterms:modified>
  <cp:revision>7</cp:revision>
  <dc:subject/>
  <dc:title>MASTER CROSS﷓PRODUCT NETTING AND SECURITY AGREEMENT</dc:title>
</cp:coreProperties>
</file>