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jc w:val="both"/>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w:t>
      </w:r>
    </w:p>
    <w:p>
      <w:pPr>
        <w:pStyle w:val="BodyTextIndent2"/>
        <w:spacing w:lineRule="auto" w:line="240"/>
        <w:jc w:val="both"/>
        <w:rPr/>
      </w:pPr>
      <w:r>
        <w:rPr/>
      </w:r>
    </w:p>
    <w:p>
      <w:pPr>
        <w:pStyle w:val="BodyTextIndent2"/>
        <w:spacing w:lineRule="auto" w:line="240"/>
        <w:jc w:val="both"/>
        <w:rPr/>
      </w:pPr>
      <w:r>
        <w:rPr/>
        <w:t xml:space="preserve">Enron will not, however, provide information in response to requests </w:t>
      </w:r>
      <w:r>
        <w:rPr>
          <w:bCs/>
        </w:rPr>
        <w:t xml:space="preserve">for which Enron has important legal objections or which are beyond the scope of committee’s jurisdiction.  The Select Committee found Enron to be in contempt without a hearing or any consideration of any of Enron’s objections.  Today Enron has filed suit against the Select Committee seeking to have an impartial neutral court determine Enron’s rights and obligations under the Select Committee’s subpoena.  Notwithstanding the filing of this action, Enron is prepared to make available to the Select Committee on July 16, 2001 non-confidential documents, within the jurisdiction of the Select Committee’s subpoena, where Enron has no objection to their production. </w:t>
      </w:r>
    </w:p>
    <w:p>
      <w:pPr>
        <w:pStyle w:val="BodyTextIndent3"/>
        <w:spacing w:lineRule="auto" w:line="240"/>
        <w:jc w:val="both"/>
        <w:rPr>
          <w:bCs/>
        </w:rPr>
      </w:pPr>
      <w:r>
        <w:rPr>
          <w:bCs/>
        </w:rPr>
      </w:r>
    </w:p>
    <w:p>
      <w:pPr>
        <w:pStyle w:val="BodyTextIndent3"/>
        <w:spacing w:lineRule="auto" w:line="240"/>
        <w:jc w:val="both"/>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changes in market fundamentals. </w:t>
      </w:r>
    </w:p>
    <w:p>
      <w:pPr>
        <w:pStyle w:val="Normal"/>
        <w:ind w:firstLine="720" w:end="0"/>
        <w:jc w:val="both"/>
        <w:rPr/>
      </w:pPr>
      <w:r>
        <w:rPr/>
      </w:r>
    </w:p>
    <w:p>
      <w:pPr>
        <w:pStyle w:val="Normal"/>
        <w:ind w:firstLine="720" w:end="0"/>
        <w:jc w:val="both"/>
        <w:rPr/>
      </w:pPr>
      <w:r>
        <w:rPr/>
        <w:t xml:space="preserve">The difficulty arises from the fact that the committee has singled out Enron for intense scrutiny when, according to the California ISO consultant’s own calculations, </w:t>
      </w:r>
      <w:r>
        <w:rPr>
          <w:b/>
          <w:bCs/>
          <w:i/>
          <w:iCs/>
        </w:rPr>
        <w:t xml:space="preserve">the alleged “overcharges” attributable to Enron represent </w:t>
      </w:r>
      <w:r>
        <w:rPr>
          <w:b/>
          <w:bCs/>
          <w:i/>
          <w:iCs/>
          <w:u w:val="single"/>
        </w:rPr>
        <w:t>four-tenths of one percent</w:t>
      </w:r>
      <w:r>
        <w:rPr>
          <w:b/>
          <w:bCs/>
          <w:i/>
          <w:iCs/>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Even more, during the time period at issue, Enron was a substantial buyer of power in California.  Under the assumption that refunds are owed to buyers from those markets, during those time periods Enron would likely be a net </w:t>
      </w:r>
      <w:r>
        <w:rPr>
          <w:u w:val="single"/>
        </w:rPr>
        <w:t>recipient</w:t>
      </w:r>
      <w:r>
        <w:rPr/>
        <w:t xml:space="preserve"> of refunds.</w:t>
      </w:r>
    </w:p>
    <w:p>
      <w:pPr>
        <w:pStyle w:val="Normal"/>
        <w:ind w:firstLine="720" w:end="0"/>
        <w:jc w:val="both"/>
        <w:rPr/>
      </w:pPr>
      <w:r>
        <w:rPr/>
      </w:r>
    </w:p>
    <w:p>
      <w:pPr>
        <w:pStyle w:val="Normal"/>
        <w:ind w:firstLine="720" w:end="0"/>
        <w:jc w:val="both"/>
        <w:rPr/>
      </w:pPr>
      <w:r>
        <w:rPr/>
        <w:t>It is exceedingly difficult to understand how the Committee can justify concentrating an “investigation” into wholesale power markets on a single market participant who, by California’s own assessment,</w:t>
      </w:r>
      <w:r>
        <w:rPr>
          <w:b/>
          <w:bCs/>
        </w:rPr>
        <w:t xml:space="preserve"> </w:t>
      </w:r>
      <w:r>
        <w:rPr/>
        <w:t xml:space="preserve">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 in the absence of specific fact-based findings by the Federal Energy Regulatory Commission of unlawful exercise of market power.  </w:t>
      </w:r>
    </w:p>
    <w:p>
      <w:pPr>
        <w:pStyle w:val="Normal"/>
        <w:ind w:firstLine="720" w:end="0"/>
        <w:jc w:val="both"/>
        <w:rPr/>
      </w:pPr>
      <w:r>
        <w:rPr/>
      </w:r>
    </w:p>
    <w:p>
      <w:pPr>
        <w:pStyle w:val="Normal"/>
        <w:ind w:firstLine="720" w:end="0"/>
        <w:jc w:val="both"/>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perhaps as much as $1 billion of “overcharges” for the Commission to consider—an amount barely greater than one-tenth of the number concocted by the ISO.  </w:t>
      </w:r>
    </w:p>
    <w:p>
      <w:pPr>
        <w:pStyle w:val="BodyTextIndent3"/>
        <w:spacing w:lineRule="auto" w:line="240"/>
        <w:jc w:val="both"/>
        <w:rPr/>
      </w:pPr>
      <w:r>
        <w:rPr/>
      </w:r>
    </w:p>
    <w:p>
      <w:pPr>
        <w:pStyle w:val="BodyTextIndent3"/>
        <w:spacing w:lineRule="auto" w:line="240"/>
        <w:jc w:val="both"/>
        <w:rPr>
          <w:b/>
        </w:rPr>
      </w:pPr>
      <w:r>
        <w:rPr/>
        <w:t xml:space="preserve">When the $39 million figure erroneously attributed to Enron by the ISO is adjusted to reflect the substantially lower figure resulting from ALJ Wagner’s recommended methodology, the “overcharge” alleged by the ISO to be attributable to Enron is effectively negligible, and, again, more than offset by refunds likely owed to Enron. </w:t>
      </w:r>
    </w:p>
    <w:p>
      <w:pPr>
        <w:pStyle w:val="BodyTextIndent3"/>
        <w:spacing w:lineRule="auto" w:line="240"/>
        <w:jc w:val="both"/>
        <w:rPr>
          <w:b/>
        </w:rPr>
      </w:pPr>
      <w:r>
        <w:rPr>
          <w:b/>
        </w:rPr>
      </w:r>
    </w:p>
    <w:p>
      <w:pPr>
        <w:pStyle w:val="BodyTextIndent3"/>
        <w:spacing w:lineRule="auto" w:line="240"/>
        <w:jc w:val="both"/>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jc w:val="both"/>
        <w:rPr/>
      </w:pPr>
      <w:r>
        <w:rPr/>
      </w:r>
    </w:p>
    <w:p>
      <w:pPr>
        <w:pStyle w:val="Normal"/>
        <w:ind w:firstLine="720" w:end="0"/>
        <w:jc w:val="both"/>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jc w:val="both"/>
        <w:rPr/>
      </w:pPr>
      <w:r>
        <w:rPr/>
      </w:r>
    </w:p>
    <w:p>
      <w:pPr>
        <w:pStyle w:val="BodyTextIndent3"/>
        <w:spacing w:lineRule="auto" w:line="240"/>
        <w:jc w:val="both"/>
        <w:rPr/>
      </w:pPr>
      <w:r>
        <w:rPr/>
        <w:t>It is important to note that while Enron is frequently described as a “generator,” Enron does not own any generation in California other than a small amount of wind power,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jc w:val="both"/>
        <w:rPr/>
      </w:pPr>
      <w:r>
        <w:rPr/>
      </w:r>
    </w:p>
    <w:p>
      <w:pPr>
        <w:pStyle w:val="BodyTextIndent3"/>
        <w:spacing w:lineRule="auto" w:line="240"/>
        <w:jc w:val="both"/>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real fact-finding and problem-solving and has cost California consumers billions of dollars as a result.  </w:t>
      </w:r>
    </w:p>
    <w:p>
      <w:pPr>
        <w:pStyle w:val="Normal"/>
        <w:ind w:firstLine="720" w:end="0"/>
        <w:jc w:val="both"/>
        <w:rPr/>
      </w:pPr>
      <w:r>
        <w:rPr/>
      </w:r>
    </w:p>
    <w:p>
      <w:pPr>
        <w:pStyle w:val="Normal"/>
        <w:ind w:firstLine="720" w:end="0"/>
        <w:jc w:val="both"/>
        <w:rPr/>
      </w:pPr>
      <w:r>
        <w:rPr/>
        <w:t>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The savings for citizens in San Diego from Enron’s offer alone would have been more than $1 billion.  The rejection of these offers has led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bodies had accepted the supply offers. This misstep is surely worthy of the committee’s inquiry into California’s wholesale electricity markets.</w:t>
      </w:r>
    </w:p>
    <w:p>
      <w:pPr>
        <w:pStyle w:val="BodyTextIndent3"/>
        <w:spacing w:lineRule="auto" w:line="240"/>
        <w:jc w:val="both"/>
        <w:rPr/>
      </w:pPr>
      <w:r>
        <w:rPr/>
      </w:r>
    </w:p>
    <w:p>
      <w:pPr>
        <w:pStyle w:val="BodyTextIndent3"/>
        <w:spacing w:lineRule="auto" w:line="240"/>
        <w:jc w:val="both"/>
        <w:rPr/>
      </w:pPr>
      <w:r>
        <w:rPr/>
        <w:t>Finally, contrary to frequent misstatements, from the moment California began discussing restructuring its electricity industry, Enron has advocated a workable and competitive market structure that is fair to all parties, especially customers.  For example, Enron repeatedly urged the PUC and the Legislature to reject the most harmful elements of the flawed regulatory structure that is at the root of the State’s financial crisis:</w:t>
      </w:r>
    </w:p>
    <w:p>
      <w:pPr>
        <w:pStyle w:val="BodyTextIndent3"/>
        <w:spacing w:lineRule="auto" w:line="240"/>
        <w:jc w:val="both"/>
        <w:rPr/>
      </w:pPr>
      <w:r>
        <w:rPr/>
      </w:r>
    </w:p>
    <w:p>
      <w:pPr>
        <w:pStyle w:val="Normal"/>
        <w:numPr>
          <w:ilvl w:val="0"/>
          <w:numId w:val="2"/>
        </w:numPr>
        <w:tabs>
          <w:tab w:val="clear" w:pos="720"/>
        </w:tabs>
        <w:ind w:hanging="360" w:start="720" w:end="0"/>
        <w:jc w:val="both"/>
        <w:rPr>
          <w:i/>
          <w:i/>
          <w:iCs/>
        </w:rPr>
      </w:pPr>
      <w:r>
        <w:rPr>
          <w:i/>
          <w:iCs/>
        </w:rPr>
        <w:t xml:space="preserve">Enron opposed the mandatory buy-sell rule that locked the utilities and their customers into a fatal dependence on short term and spot purchases.  </w:t>
      </w:r>
    </w:p>
    <w:p>
      <w:pPr>
        <w:pStyle w:val="Normal"/>
        <w:ind w:start="720" w:end="0"/>
        <w:jc w:val="both"/>
        <w:rPr>
          <w:i/>
          <w:i/>
          <w:iCs/>
        </w:rPr>
      </w:pPr>
      <w:r>
        <w:rPr>
          <w:i/>
          <w:iCs/>
        </w:rPr>
      </w:r>
    </w:p>
    <w:p>
      <w:pPr>
        <w:pStyle w:val="Normal"/>
        <w:numPr>
          <w:ilvl w:val="0"/>
          <w:numId w:val="2"/>
        </w:numPr>
        <w:tabs>
          <w:tab w:val="clear" w:pos="720"/>
        </w:tabs>
        <w:ind w:hanging="360" w:start="720" w:end="0"/>
        <w:jc w:val="both"/>
        <w:rPr>
          <w:i/>
          <w:i/>
          <w:iCs/>
        </w:rPr>
      </w:pPr>
      <w:r>
        <w:rPr>
          <w:i/>
          <w:iCs/>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jc w:val="both"/>
        <w:rPr>
          <w:i/>
          <w:i/>
          <w:iCs/>
        </w:rPr>
      </w:pPr>
      <w:r>
        <w:rPr>
          <w:i/>
          <w:iCs/>
        </w:rPr>
        <w:t xml:space="preserve">  </w:t>
      </w:r>
    </w:p>
    <w:p>
      <w:pPr>
        <w:pStyle w:val="Normal"/>
        <w:numPr>
          <w:ilvl w:val="0"/>
          <w:numId w:val="2"/>
        </w:numPr>
        <w:tabs>
          <w:tab w:val="clear" w:pos="720"/>
        </w:tabs>
        <w:ind w:hanging="360" w:start="720" w:end="0"/>
        <w:jc w:val="both"/>
        <w:rPr/>
      </w:pPr>
      <w:r>
        <w:rPr>
          <w:i/>
          <w:iCs/>
        </w:rPr>
        <w:t>Enron repeatedly warned California that a centralized, government-created power pool that paid all providers the highest clearing price would lead to higher prices and failure—just as the United Kingdom power pool upon which it was based also failed.</w:t>
      </w:r>
      <w:r>
        <w:rPr/>
        <w:t xml:space="preserve">  </w:t>
      </w:r>
    </w:p>
    <w:p>
      <w:pPr>
        <w:pStyle w:val="Normal"/>
        <w:ind w:firstLine="360" w:start="720" w:end="0"/>
        <w:jc w:val="both"/>
        <w:rPr/>
      </w:pPr>
      <w:r>
        <w:rPr/>
      </w:r>
    </w:p>
    <w:p>
      <w:pPr>
        <w:pStyle w:val="BodyTextIndent"/>
        <w:spacing w:lineRule="auto" w:line="240"/>
        <w:ind w:firstLine="720" w:end="0"/>
        <w:jc w:val="both"/>
        <w:rPr/>
      </w:pPr>
      <w:r>
        <w:rPr/>
        <w:t xml:space="preserve">In sum, Enron has actively attempted to assist policymakers in their pursuit of the facts underlying the price spikes in California’s electricity market.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jc w:val="both"/>
        <w:rPr/>
      </w:pPr>
      <w:r>
        <w:rPr/>
      </w:r>
    </w:p>
    <w:p>
      <w:pPr>
        <w:pStyle w:val="BodyTextIndent"/>
        <w:spacing w:lineRule="auto" w:line="240"/>
        <w:ind w:firstLine="720" w:start="360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firstLine="720" w:start="3600" w:end="0"/>
        <w:rPr/>
      </w:pPr>
      <w:r>
        <w:rPr/>
        <w:t>Steven J. Kean</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iCs/>
        </w:rPr>
        <w:t xml:space="preserve"> </w:t>
      </w:r>
      <w:r>
        <w:rPr>
          <w:i/>
          <w:iCs/>
        </w:rPr>
        <w:t>State’s Refund Demand Rejected: Judge Ends Rebate Talks, Rebukes $9 Billion Claim</w:t>
      </w:r>
      <w:r>
        <w:rPr/>
        <w:t xml:space="preserve">, San Francisco Chronicle, July 10, 2001.  </w:t>
      </w:r>
      <w:r>
        <w:rPr>
          <w:i/>
          <w:iCs/>
        </w:rPr>
        <w:t>FERC Judge Says State Owed No More than $1 Billion</w:t>
      </w:r>
      <w:r>
        <w:rPr/>
        <w:t xml:space="preserve">, Associated Press, July 9, 2001.  </w:t>
      </w:r>
      <w:r>
        <w:rPr>
          <w:i/>
          <w:iCs/>
        </w:rPr>
        <w:t>No Deal in Energy Refund Talks</w:t>
      </w:r>
      <w:r>
        <w:rPr/>
        <w:t xml:space="preserve">, Sacramento Bee, July 10, 2001. </w:t>
      </w:r>
    </w:p>
  </w:footnote>
  <w:footnote w:id="4">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iCs/>
        </w:rPr>
        <w:t xml:space="preserve">Electricity Cost Data Spread the Blame: </w:t>
      </w:r>
      <w:r>
        <w:rPr>
          <w:i/>
          <w:iCs/>
          <w:szCs w:val="36"/>
        </w:rPr>
        <w:t>Many suppliers charged more than the firms that Davis has pilloried, records show</w:t>
      </w:r>
      <w:r>
        <w:rPr>
          <w:szCs w:val="36"/>
        </w:rPr>
        <w:t>, Los Angeles Times, July 10, 2001.</w:t>
      </w:r>
    </w:p>
  </w:footnote>
  <w:footnote w:id="5">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 xml:space="preserve">State Reveals High-Priced Power Deals, </w:t>
      </w:r>
      <w:r>
        <w:rPr/>
        <w:t xml:space="preserve">Sacramento Bee, July 10, 2001. </w:t>
      </w:r>
      <w:r>
        <w:rPr>
          <w:i/>
          <w:iCs/>
        </w:rPr>
        <w:t>Power Purchase Bills Exceed $7.5 Billion</w:t>
      </w:r>
      <w:r>
        <w:rPr/>
        <w:t>, Mercury News, July 10, 2001.</w:t>
      </w:r>
    </w:p>
  </w:footnote>
  <w:footnote w:id="6">
    <w:p>
      <w:pPr>
        <w:pStyle w:val="Normal"/>
        <w:autoSpaceDE w:val="false"/>
        <w:rPr/>
      </w:pPr>
      <w:r>
        <w:rPr>
          <w:rStyle w:val="FootnoteCharacters"/>
        </w:rPr>
        <w:footnoteRef/>
      </w:r>
      <w:r>
        <w:rPr/>
        <w:t xml:space="preserve"> </w:t>
      </w:r>
      <w:r>
        <w:rPr>
          <w:i/>
          <w:iCs/>
          <w:sz w:val="20"/>
        </w:rPr>
        <w:t xml:space="preserve">Concern Over Price of Long-Term Power Pacts Grows: </w:t>
      </w:r>
      <w:r>
        <w:rPr>
          <w:i/>
          <w:iCs/>
          <w:sz w:val="20"/>
          <w:szCs w:val="36"/>
        </w:rPr>
        <w:t>Embedded costs may yield more rate hikes, critics say, and the $43-billion total could complicate plans to rescue Edison</w:t>
      </w:r>
      <w:r>
        <w:rPr>
          <w:sz w:val="20"/>
          <w:szCs w:val="36"/>
        </w:rPr>
        <w:t>.  Los Angeles Times, July 9, 2001</w:t>
      </w:r>
      <w:r>
        <w:rPr>
          <w:i/>
          <w:iCs/>
          <w:sz w:val="20"/>
          <w:szCs w:val="3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Senator Joseph L. Dunn</w:t>
    </w:r>
  </w:p>
  <w:p>
    <w:pPr>
      <w:pStyle w:val="Header"/>
      <w:rPr/>
    </w:pPr>
    <w:r>
      <w:rPr/>
      <w:t>July 11,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2001-07-11T12:46:00Z</dcterms:created>
  <dc:creator>Constance Malach</dc:creator>
  <dc:description/>
  <dc:language>en-CA</dc:language>
  <cp:lastModifiedBy>mmcvick</cp:lastModifiedBy>
  <cp:lastPrinted>2001-07-11T09:11:00Z</cp:lastPrinted>
  <dcterms:modified xsi:type="dcterms:W3CDTF">2001-07-11T12:46:00Z</dcterms:modified>
  <cp:revision>2</cp:revision>
  <dc:subject/>
  <dc:title>DRAFT LETTER TO DUNN COMMITTEE</dc:title>
</cp:coreProperties>
</file>