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2"/>
          <w:szCs w:val="22"/>
        </w:rPr>
      </w:pPr>
      <w:r>
        <w:rPr>
          <w:b/>
          <w:bCs/>
          <w:sz w:val="22"/>
          <w:szCs w:val="22"/>
        </w:rPr>
      </w:r>
    </w:p>
    <w:p>
      <w:pPr>
        <w:pStyle w:val="Normal"/>
        <w:jc w:val="center"/>
        <w:rPr>
          <w:b/>
          <w:bCs/>
          <w:sz w:val="22"/>
          <w:szCs w:val="22"/>
        </w:rPr>
      </w:pPr>
      <w:r>
        <w:rPr>
          <w:b/>
          <w:bCs/>
          <w:sz w:val="22"/>
          <w:szCs w:val="22"/>
        </w:rPr>
        <w:t xml:space="preserve">Term Sheet for </w:t>
      </w:r>
    </w:p>
    <w:p>
      <w:pPr>
        <w:pStyle w:val="Normal"/>
        <w:jc w:val="center"/>
        <w:rPr>
          <w:b/>
          <w:bCs/>
          <w:sz w:val="22"/>
          <w:szCs w:val="22"/>
        </w:rPr>
      </w:pPr>
      <w:r>
        <w:rPr>
          <w:b/>
          <w:bCs/>
          <w:sz w:val="22"/>
          <w:szCs w:val="22"/>
        </w:rPr>
        <w:t>Proposed Transaction</w:t>
      </w:r>
    </w:p>
    <w:p>
      <w:pPr>
        <w:pStyle w:val="Normal"/>
        <w:jc w:val="center"/>
        <w:rPr>
          <w:b/>
          <w:bCs/>
          <w:sz w:val="22"/>
          <w:szCs w:val="22"/>
        </w:rPr>
      </w:pPr>
      <w:r>
        <w:rPr>
          <w:b/>
          <w:bCs/>
          <w:sz w:val="22"/>
          <w:szCs w:val="22"/>
        </w:rPr>
        <w:t>Between</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Duke Energy Trading and Marketing, LLC (“Shipper”)</w:t>
      </w:r>
    </w:p>
    <w:p>
      <w:pPr>
        <w:pStyle w:val="Normal"/>
        <w:jc w:val="center"/>
        <w:rPr>
          <w:b/>
          <w:bCs/>
          <w:sz w:val="22"/>
          <w:szCs w:val="22"/>
        </w:rPr>
      </w:pPr>
      <w:r>
        <w:rPr>
          <w:b/>
          <w:bCs/>
          <w:sz w:val="22"/>
          <w:szCs w:val="22"/>
        </w:rPr>
        <w:t>And</w:t>
      </w:r>
    </w:p>
    <w:p>
      <w:pPr>
        <w:pStyle w:val="Normal"/>
        <w:jc w:val="center"/>
        <w:rPr>
          <w:b/>
          <w:bCs/>
          <w:sz w:val="22"/>
          <w:szCs w:val="22"/>
        </w:rPr>
      </w:pPr>
      <w:r>
        <w:rPr>
          <w:b/>
          <w:bCs/>
          <w:sz w:val="22"/>
          <w:szCs w:val="22"/>
        </w:rPr>
        <w:t>Transwestern Pipeline Company ("Transporter”)</w:t>
      </w:r>
    </w:p>
    <w:p>
      <w:pPr>
        <w:pStyle w:val="Normal"/>
        <w:jc w:val="center"/>
        <w:rPr>
          <w:b/>
          <w:bCs/>
          <w:sz w:val="22"/>
          <w:szCs w:val="22"/>
        </w:rPr>
      </w:pPr>
      <w:r>
        <w:rPr>
          <w:b/>
          <w:bCs/>
          <w:sz w:val="22"/>
          <w:szCs w:val="22"/>
        </w:rPr>
      </w:r>
    </w:p>
    <w:p>
      <w:pPr>
        <w:pStyle w:val="Normal"/>
        <w:jc w:val="both"/>
        <w:rPr>
          <w:b/>
          <w:bCs/>
          <w:sz w:val="22"/>
          <w:szCs w:val="22"/>
        </w:rPr>
      </w:pPr>
      <w:r>
        <w:rPr>
          <w:b/>
          <w:bCs/>
          <w:sz w:val="22"/>
          <w:szCs w:val="22"/>
        </w:rPr>
      </w:r>
    </w:p>
    <w:p>
      <w:pPr>
        <w:pStyle w:val="Normal"/>
        <w:jc w:val="both"/>
        <w:rPr/>
      </w:pPr>
      <w:r>
        <w:rPr>
          <w:b/>
          <w:bCs/>
          <w:sz w:val="22"/>
          <w:szCs w:val="22"/>
          <w:u w:val="single"/>
        </w:rPr>
        <w:t>PROJECT SCOPE:</w:t>
      </w:r>
      <w:r>
        <w:rPr>
          <w:sz w:val="22"/>
          <w:szCs w:val="22"/>
        </w:rPr>
        <w:tab/>
        <w:t>Transwestern Pipeline Company proposes to modify is existing mainline and lateral facilities, subject to all local, state, and Federal approvals, to enable Transwestern to deliver gas from the San Juan Basin to Phoenix, Arizona and to the California border  (the Sun Devil Project”).  The proposed project will enable Transwestern to deliver an incremental 780,000 MMBtu/day from the Blanco Hub located in San Juan County, NM to the Thoreau area, an incremental 310,000 MMBtu/day from Thoreau to the California Border, and an incremental 500,000 MMBtu/day from Thoreau to delivery points near Phoenix, AZ.</w:t>
      </w:r>
    </w:p>
    <w:p>
      <w:pPr>
        <w:pStyle w:val="Normal"/>
        <w:jc w:val="both"/>
        <w:rPr>
          <w:b/>
          <w:bCs/>
          <w:sz w:val="22"/>
          <w:szCs w:val="22"/>
          <w:u w:val="single"/>
        </w:rPr>
      </w:pPr>
      <w:r>
        <w:rPr>
          <w:b/>
          <w:bCs/>
          <w:sz w:val="22"/>
          <w:szCs w:val="22"/>
          <w:u w:val="single"/>
        </w:rPr>
      </w:r>
    </w:p>
    <w:p>
      <w:pPr>
        <w:pStyle w:val="Normal"/>
        <w:jc w:val="both"/>
        <w:rPr>
          <w:b/>
          <w:bCs/>
          <w:sz w:val="22"/>
          <w:szCs w:val="22"/>
          <w:u w:val="single"/>
        </w:rPr>
      </w:pPr>
      <w:r>
        <w:rPr>
          <w:b/>
          <w:bCs/>
          <w:sz w:val="22"/>
          <w:szCs w:val="22"/>
          <w:u w:val="single"/>
        </w:rPr>
      </w:r>
    </w:p>
    <w:p>
      <w:pPr>
        <w:pStyle w:val="Normal"/>
        <w:ind w:hanging="360" w:start="360" w:end="0"/>
        <w:jc w:val="both"/>
        <w:rPr>
          <w:b/>
          <w:bCs/>
          <w:sz w:val="22"/>
          <w:szCs w:val="22"/>
        </w:rPr>
      </w:pPr>
      <w:r>
        <w:rPr>
          <w:b/>
          <w:bCs/>
          <w:caps/>
          <w:sz w:val="22"/>
          <w:szCs w:val="22"/>
          <w:u w:val="single"/>
        </w:rPr>
        <w:t>General Description of Transaction</w:t>
      </w:r>
      <w:r>
        <w:rPr>
          <w:b/>
          <w:bCs/>
          <w:sz w:val="22"/>
          <w:szCs w:val="22"/>
        </w:rPr>
        <w:t xml:space="preserve">: </w:t>
      </w:r>
      <w:r>
        <w:rPr>
          <w:sz w:val="22"/>
          <w:szCs w:val="22"/>
        </w:rPr>
        <w:t xml:space="preserve"> Set forth below are the general terms and conditions of a proposed transaction (“Proposed Transaction”) between Shipper and Transporter pursuant to which Transporter would deliver natural gas from production areas to market areas on behalf of Shipper:</w:t>
      </w:r>
    </w:p>
    <w:p>
      <w:pPr>
        <w:pStyle w:val="Normal"/>
        <w:jc w:val="both"/>
        <w:rPr>
          <w:b/>
          <w:bCs/>
          <w:sz w:val="22"/>
          <w:szCs w:val="22"/>
        </w:rPr>
      </w:pPr>
      <w:r>
        <w:rPr>
          <w:b/>
          <w:bCs/>
          <w:sz w:val="22"/>
          <w:szCs w:val="22"/>
        </w:rPr>
      </w:r>
    </w:p>
    <w:p>
      <w:pPr>
        <w:pStyle w:val="Normal"/>
        <w:tabs>
          <w:tab w:val="clear" w:pos="720"/>
          <w:tab w:val="left" w:pos="2880" w:leader="none"/>
        </w:tabs>
        <w:ind w:hanging="2520" w:start="2880" w:end="0"/>
        <w:jc w:val="both"/>
        <w:rPr/>
      </w:pPr>
      <w:r>
        <w:rPr>
          <w:b/>
          <w:bCs/>
          <w:sz w:val="22"/>
          <w:szCs w:val="22"/>
        </w:rPr>
        <w:t>Transporter:</w:t>
      </w:r>
      <w:r>
        <w:rPr>
          <w:sz w:val="22"/>
          <w:szCs w:val="22"/>
        </w:rPr>
        <w:tab/>
        <w:t xml:space="preserve">Transporter will provide the necessary pipeline capacity for the delivery of Shipper’s natural gas, up to and including Shipper’s Maximum Daily Quantity (MDQ) </w:t>
      </w:r>
    </w:p>
    <w:p>
      <w:pPr>
        <w:pStyle w:val="Normal"/>
        <w:tabs>
          <w:tab w:val="clear" w:pos="720"/>
          <w:tab w:val="left" w:pos="2880" w:leader="none"/>
        </w:tabs>
        <w:ind w:hanging="2520" w:start="2880" w:end="0"/>
        <w:jc w:val="both"/>
        <w:rPr>
          <w:b/>
          <w:bCs/>
          <w:sz w:val="22"/>
          <w:szCs w:val="22"/>
        </w:rPr>
      </w:pPr>
      <w:r>
        <w:rPr>
          <w:b/>
          <w:bCs/>
          <w:sz w:val="22"/>
          <w:szCs w:val="22"/>
        </w:rPr>
      </w:r>
    </w:p>
    <w:p>
      <w:pPr>
        <w:pStyle w:val="Normal"/>
        <w:tabs>
          <w:tab w:val="clear" w:pos="720"/>
          <w:tab w:val="left" w:pos="2880" w:leader="none"/>
        </w:tabs>
        <w:ind w:hanging="2520" w:start="2880" w:end="0"/>
        <w:jc w:val="both"/>
        <w:rPr/>
      </w:pPr>
      <w:r>
        <w:rPr>
          <w:b/>
          <w:bCs/>
          <w:sz w:val="22"/>
          <w:szCs w:val="22"/>
        </w:rPr>
        <w:t>Shipper:</w:t>
      </w:r>
      <w:r>
        <w:rPr>
          <w:sz w:val="22"/>
          <w:szCs w:val="22"/>
        </w:rPr>
        <w:tab/>
        <w:t>Shipper will purchase natural gas transportation capacity from Transporter.</w:t>
      </w:r>
    </w:p>
    <w:p>
      <w:pPr>
        <w:pStyle w:val="Normal"/>
        <w:tabs>
          <w:tab w:val="clear" w:pos="720"/>
          <w:tab w:val="left" w:pos="2880" w:leader="none"/>
        </w:tabs>
        <w:ind w:hanging="2520" w:start="2880" w:end="0"/>
        <w:jc w:val="both"/>
        <w:rPr>
          <w:sz w:val="22"/>
          <w:szCs w:val="22"/>
        </w:rPr>
      </w:pPr>
      <w:r>
        <w:rPr>
          <w:sz w:val="22"/>
          <w:szCs w:val="22"/>
        </w:rPr>
        <w:tab/>
      </w:r>
    </w:p>
    <w:p>
      <w:pPr>
        <w:pStyle w:val="Normal"/>
        <w:tabs>
          <w:tab w:val="clear" w:pos="720"/>
          <w:tab w:val="left" w:pos="2880" w:leader="none"/>
        </w:tabs>
        <w:ind w:hanging="2520" w:start="2880" w:end="0"/>
        <w:jc w:val="both"/>
        <w:rPr/>
      </w:pPr>
      <w:r>
        <w:rPr>
          <w:b/>
          <w:bCs/>
          <w:sz w:val="22"/>
          <w:szCs w:val="22"/>
        </w:rPr>
        <w:t>Max Daily Quantity:</w:t>
      </w:r>
      <w:r>
        <w:rPr>
          <w:sz w:val="22"/>
          <w:szCs w:val="22"/>
        </w:rPr>
        <w:tab/>
        <w:t>100,000 MMBtu</w:t>
      </w:r>
    </w:p>
    <w:p>
      <w:pPr>
        <w:pStyle w:val="Normal"/>
        <w:tabs>
          <w:tab w:val="clear" w:pos="720"/>
          <w:tab w:val="left" w:pos="2880" w:leader="none"/>
        </w:tabs>
        <w:ind w:hanging="2520" w:start="2880" w:end="0"/>
        <w:jc w:val="both"/>
        <w:rPr>
          <w:sz w:val="22"/>
          <w:szCs w:val="22"/>
        </w:rPr>
      </w:pPr>
      <w:r>
        <w:rPr>
          <w:sz w:val="22"/>
          <w:szCs w:val="22"/>
        </w:rPr>
      </w:r>
    </w:p>
    <w:p>
      <w:pPr>
        <w:pStyle w:val="Normal"/>
        <w:tabs>
          <w:tab w:val="clear" w:pos="720"/>
          <w:tab w:val="left" w:pos="2880" w:leader="none"/>
        </w:tabs>
        <w:ind w:hanging="2520" w:start="2880" w:end="0"/>
        <w:jc w:val="both"/>
        <w:rPr/>
      </w:pPr>
      <w:r>
        <w:rPr>
          <w:b/>
          <w:bCs/>
          <w:sz w:val="22"/>
          <w:szCs w:val="22"/>
        </w:rPr>
        <w:t>Ratable Hourly Quantity:</w:t>
      </w:r>
      <w:r>
        <w:rPr>
          <w:sz w:val="22"/>
          <w:szCs w:val="22"/>
        </w:rPr>
        <w:tab/>
        <w:t xml:space="preserve">    4,167 MMBtu</w:t>
      </w:r>
    </w:p>
    <w:p>
      <w:pPr>
        <w:pStyle w:val="Normal"/>
        <w:tabs>
          <w:tab w:val="clear" w:pos="720"/>
          <w:tab w:val="left" w:pos="2880" w:leader="none"/>
        </w:tabs>
        <w:ind w:hanging="2520" w:start="2880" w:end="0"/>
        <w:jc w:val="both"/>
        <w:rPr>
          <w:sz w:val="22"/>
          <w:szCs w:val="22"/>
        </w:rPr>
      </w:pPr>
      <w:r>
        <w:rPr>
          <w:sz w:val="22"/>
          <w:szCs w:val="22"/>
        </w:rPr>
      </w:r>
    </w:p>
    <w:p>
      <w:pPr>
        <w:pStyle w:val="Normal"/>
        <w:tabs>
          <w:tab w:val="clear" w:pos="720"/>
          <w:tab w:val="left" w:pos="2880" w:leader="none"/>
        </w:tabs>
        <w:ind w:hanging="2520" w:start="2880" w:end="0"/>
        <w:jc w:val="both"/>
        <w:rPr/>
      </w:pPr>
      <w:r>
        <w:rPr>
          <w:b/>
          <w:bCs/>
          <w:sz w:val="22"/>
          <w:szCs w:val="22"/>
        </w:rPr>
        <w:t>Max Hourly Quantity:</w:t>
      </w:r>
      <w:r>
        <w:rPr>
          <w:sz w:val="22"/>
          <w:szCs w:val="22"/>
        </w:rPr>
        <w:tab/>
        <w:t xml:space="preserve">    5,000 MMBtu (not to exceed Max Daily Quantity)</w:t>
      </w:r>
    </w:p>
    <w:p>
      <w:pPr>
        <w:pStyle w:val="Normal"/>
        <w:tabs>
          <w:tab w:val="clear" w:pos="720"/>
          <w:tab w:val="left" w:pos="2880" w:leader="none"/>
        </w:tabs>
        <w:ind w:hanging="2520" w:start="2880" w:end="0"/>
        <w:jc w:val="both"/>
        <w:rPr>
          <w:sz w:val="22"/>
          <w:szCs w:val="22"/>
        </w:rPr>
      </w:pPr>
      <w:r>
        <w:rPr>
          <w:sz w:val="22"/>
          <w:szCs w:val="22"/>
        </w:rPr>
        <w:t xml:space="preserve"> </w:t>
      </w:r>
    </w:p>
    <w:p>
      <w:pPr>
        <w:pStyle w:val="Normal"/>
        <w:tabs>
          <w:tab w:val="clear" w:pos="720"/>
          <w:tab w:val="left" w:pos="2880" w:leader="none"/>
        </w:tabs>
        <w:ind w:hanging="2520" w:start="2880" w:end="0"/>
        <w:jc w:val="both"/>
        <w:rPr>
          <w:sz w:val="22"/>
          <w:szCs w:val="22"/>
        </w:rPr>
      </w:pPr>
      <w:r>
        <w:rPr>
          <w:b/>
          <w:bCs/>
          <w:sz w:val="22"/>
          <w:szCs w:val="22"/>
        </w:rPr>
        <w:t>Contract Rate:</w:t>
      </w:r>
    </w:p>
    <w:tbl>
      <w:tblPr>
        <w:tblW w:w="6696" w:type="dxa"/>
        <w:jc w:val="start"/>
        <w:tblInd w:w="2880" w:type="dxa"/>
        <w:tblLayout w:type="fixed"/>
        <w:tblCellMar>
          <w:top w:w="0" w:type="dxa"/>
          <w:start w:w="108" w:type="dxa"/>
          <w:bottom w:w="0" w:type="dxa"/>
          <w:end w:w="108" w:type="dxa"/>
        </w:tblCellMar>
      </w:tblPr>
      <w:tblGrid>
        <w:gridCol w:w="1984"/>
        <w:gridCol w:w="2236"/>
        <w:gridCol w:w="2476"/>
      </w:tblGrid>
      <w:tr>
        <w:trPr/>
        <w:tc>
          <w:tcPr>
            <w:tcW w:w="198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80" w:leader="none"/>
              </w:tabs>
              <w:jc w:val="center"/>
              <w:rPr>
                <w:sz w:val="22"/>
                <w:szCs w:val="22"/>
              </w:rPr>
            </w:pPr>
            <w:r>
              <w:rPr>
                <w:sz w:val="22"/>
                <w:szCs w:val="22"/>
              </w:rPr>
              <w:t>$/MMBtu*</w:t>
            </w:r>
          </w:p>
        </w:tc>
        <w:tc>
          <w:tcPr>
            <w:tcW w:w="2236"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MHQ effective Rate</w:t>
            </w:r>
          </w:p>
        </w:tc>
        <w:tc>
          <w:tcPr>
            <w:tcW w:w="24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80" w:leader="none"/>
              </w:tabs>
              <w:jc w:val="center"/>
              <w:rPr>
                <w:sz w:val="22"/>
                <w:szCs w:val="22"/>
              </w:rPr>
            </w:pPr>
            <w:r>
              <w:rPr>
                <w:sz w:val="22"/>
                <w:szCs w:val="22"/>
              </w:rPr>
              <w:t>Contract Year</w:t>
            </w:r>
          </w:p>
        </w:tc>
      </w:tr>
      <w:tr>
        <w:trPr/>
        <w:tc>
          <w:tcPr>
            <w:tcW w:w="198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80" w:leader="none"/>
              </w:tabs>
              <w:jc w:val="center"/>
              <w:rPr>
                <w:sz w:val="22"/>
                <w:szCs w:val="22"/>
              </w:rPr>
            </w:pPr>
            <w:r>
              <w:rPr>
                <w:sz w:val="22"/>
                <w:szCs w:val="22"/>
              </w:rPr>
              <w:t>$0.5525</w:t>
            </w:r>
          </w:p>
        </w:tc>
        <w:tc>
          <w:tcPr>
            <w:tcW w:w="223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80" w:leader="none"/>
              </w:tabs>
              <w:jc w:val="center"/>
              <w:rPr>
                <w:sz w:val="22"/>
                <w:szCs w:val="22"/>
              </w:rPr>
            </w:pPr>
            <w:r>
              <w:rPr>
                <w:sz w:val="22"/>
                <w:szCs w:val="22"/>
              </w:rPr>
              <w:t>$0.4605</w:t>
            </w:r>
          </w:p>
        </w:tc>
        <w:tc>
          <w:tcPr>
            <w:tcW w:w="24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80" w:leader="none"/>
              </w:tabs>
              <w:jc w:val="center"/>
              <w:rPr>
                <w:sz w:val="22"/>
                <w:szCs w:val="22"/>
              </w:rPr>
            </w:pPr>
            <w:r>
              <w:rPr>
                <w:sz w:val="22"/>
                <w:szCs w:val="22"/>
              </w:rPr>
              <w:t>1 – 5</w:t>
            </w:r>
          </w:p>
        </w:tc>
      </w:tr>
      <w:tr>
        <w:trPr/>
        <w:tc>
          <w:tcPr>
            <w:tcW w:w="198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80" w:leader="none"/>
              </w:tabs>
              <w:jc w:val="center"/>
              <w:rPr>
                <w:sz w:val="22"/>
                <w:szCs w:val="22"/>
              </w:rPr>
            </w:pPr>
            <w:r>
              <w:rPr>
                <w:sz w:val="22"/>
                <w:szCs w:val="22"/>
              </w:rPr>
              <w:t>$0.5900</w:t>
            </w:r>
          </w:p>
        </w:tc>
        <w:tc>
          <w:tcPr>
            <w:tcW w:w="223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80" w:leader="none"/>
              </w:tabs>
              <w:jc w:val="center"/>
              <w:rPr>
                <w:sz w:val="22"/>
                <w:szCs w:val="22"/>
              </w:rPr>
            </w:pPr>
            <w:r>
              <w:rPr>
                <w:sz w:val="22"/>
                <w:szCs w:val="22"/>
              </w:rPr>
              <w:t>$0.4917</w:t>
            </w:r>
          </w:p>
        </w:tc>
        <w:tc>
          <w:tcPr>
            <w:tcW w:w="24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80" w:leader="none"/>
              </w:tabs>
              <w:jc w:val="center"/>
              <w:rPr>
                <w:sz w:val="22"/>
                <w:szCs w:val="22"/>
              </w:rPr>
            </w:pPr>
            <w:r>
              <w:rPr>
                <w:sz w:val="22"/>
                <w:szCs w:val="22"/>
              </w:rPr>
              <w:t>6 - 10</w:t>
            </w:r>
          </w:p>
        </w:tc>
      </w:tr>
      <w:tr>
        <w:trPr/>
        <w:tc>
          <w:tcPr>
            <w:tcW w:w="198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80" w:leader="none"/>
              </w:tabs>
              <w:jc w:val="center"/>
              <w:rPr>
                <w:sz w:val="22"/>
                <w:szCs w:val="22"/>
              </w:rPr>
            </w:pPr>
            <w:r>
              <w:rPr>
                <w:sz w:val="22"/>
                <w:szCs w:val="22"/>
              </w:rPr>
              <w:t>+ 1.5% annual</w:t>
            </w:r>
          </w:p>
        </w:tc>
        <w:tc>
          <w:tcPr>
            <w:tcW w:w="223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80" w:leader="none"/>
              </w:tabs>
              <w:snapToGrid w:val="false"/>
              <w:jc w:val="center"/>
              <w:rPr>
                <w:sz w:val="22"/>
                <w:szCs w:val="22"/>
              </w:rPr>
            </w:pPr>
            <w:r>
              <w:rPr>
                <w:sz w:val="22"/>
                <w:szCs w:val="22"/>
              </w:rPr>
            </w:r>
          </w:p>
        </w:tc>
        <w:tc>
          <w:tcPr>
            <w:tcW w:w="24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80" w:leader="none"/>
              </w:tabs>
              <w:jc w:val="center"/>
              <w:rPr>
                <w:sz w:val="22"/>
                <w:szCs w:val="22"/>
              </w:rPr>
            </w:pPr>
            <w:r>
              <w:rPr>
                <w:sz w:val="22"/>
                <w:szCs w:val="22"/>
              </w:rPr>
              <w:t>11 - 30</w:t>
            </w:r>
          </w:p>
        </w:tc>
      </w:tr>
    </w:tbl>
    <w:p>
      <w:pPr>
        <w:pStyle w:val="Normal"/>
        <w:tabs>
          <w:tab w:val="clear" w:pos="720"/>
          <w:tab w:val="left" w:pos="2880" w:leader="none"/>
        </w:tabs>
        <w:ind w:hanging="2520" w:start="2880" w:end="0"/>
        <w:jc w:val="both"/>
        <w:rPr>
          <w:sz w:val="22"/>
          <w:szCs w:val="22"/>
        </w:rPr>
      </w:pPr>
      <w:r>
        <w:rPr>
          <w:sz w:val="22"/>
          <w:szCs w:val="22"/>
        </w:rPr>
        <w:tab/>
        <w:t>*exclusive of AGA &amp; GRI surcharges</w:t>
      </w:r>
    </w:p>
    <w:p>
      <w:pPr>
        <w:pStyle w:val="Normal"/>
        <w:tabs>
          <w:tab w:val="clear" w:pos="720"/>
          <w:tab w:val="left" w:pos="2880" w:leader="none"/>
        </w:tabs>
        <w:ind w:hanging="2520" w:start="2880" w:end="0"/>
        <w:jc w:val="both"/>
        <w:rPr>
          <w:sz w:val="22"/>
          <w:szCs w:val="22"/>
        </w:rPr>
      </w:pPr>
      <w:r>
        <w:rPr>
          <w:sz w:val="22"/>
          <w:szCs w:val="22"/>
        </w:rPr>
      </w:r>
    </w:p>
    <w:p>
      <w:pPr>
        <w:pStyle w:val="Normal"/>
        <w:tabs>
          <w:tab w:val="clear" w:pos="720"/>
          <w:tab w:val="left" w:pos="2880" w:leader="none"/>
        </w:tabs>
        <w:ind w:hanging="2520" w:start="2880" w:end="0"/>
        <w:jc w:val="both"/>
        <w:rPr/>
      </w:pPr>
      <w:r>
        <w:rPr>
          <w:b/>
          <w:bCs/>
          <w:sz w:val="22"/>
          <w:szCs w:val="22"/>
        </w:rPr>
        <w:t>Fuel Rate:</w:t>
      </w:r>
      <w:r>
        <w:rPr>
          <w:sz w:val="22"/>
          <w:szCs w:val="22"/>
        </w:rPr>
        <w:tab/>
        <w:t>4.75% of all nominated quantities</w:t>
      </w:r>
    </w:p>
    <w:p>
      <w:pPr>
        <w:pStyle w:val="Normal"/>
        <w:tabs>
          <w:tab w:val="clear" w:pos="720"/>
          <w:tab w:val="left" w:pos="2880" w:leader="none"/>
        </w:tabs>
        <w:ind w:hanging="2520" w:start="2880" w:end="0"/>
        <w:jc w:val="both"/>
        <w:rPr>
          <w:sz w:val="22"/>
          <w:szCs w:val="22"/>
        </w:rPr>
      </w:pPr>
      <w:r>
        <w:rPr>
          <w:sz w:val="22"/>
          <w:szCs w:val="22"/>
        </w:rPr>
      </w:r>
    </w:p>
    <w:p>
      <w:pPr>
        <w:pStyle w:val="Normal"/>
        <w:tabs>
          <w:tab w:val="clear" w:pos="720"/>
          <w:tab w:val="left" w:pos="2880" w:leader="none"/>
        </w:tabs>
        <w:ind w:hanging="2520" w:start="2880" w:end="0"/>
        <w:jc w:val="both"/>
        <w:rPr/>
      </w:pPr>
      <w:r>
        <w:rPr>
          <w:b/>
          <w:bCs/>
          <w:sz w:val="22"/>
          <w:szCs w:val="22"/>
        </w:rPr>
        <w:t>Delivery Term:</w:t>
      </w:r>
      <w:r>
        <w:rPr>
          <w:sz w:val="22"/>
          <w:szCs w:val="22"/>
        </w:rPr>
        <w:tab/>
        <w:t>30 years from the date of commercial availability of Transporter’s Sun Devil Pipeline project, anticipated to occur during the second calendar quarter of 2004.</w:t>
      </w:r>
      <w:r>
        <w:br w:type="page"/>
      </w:r>
    </w:p>
    <w:p>
      <w:pPr>
        <w:pStyle w:val="Normal"/>
        <w:tabs>
          <w:tab w:val="clear" w:pos="720"/>
          <w:tab w:val="left" w:pos="2880" w:leader="none"/>
        </w:tabs>
        <w:ind w:hanging="2520" w:start="2880" w:end="0"/>
        <w:jc w:val="both"/>
        <w:rPr>
          <w:sz w:val="22"/>
          <w:szCs w:val="22"/>
        </w:rPr>
      </w:pPr>
      <w:r>
        <w:rPr>
          <w:sz w:val="22"/>
          <w:szCs w:val="22"/>
        </w:rPr>
      </w:r>
    </w:p>
    <w:p>
      <w:pPr>
        <w:pStyle w:val="Normal"/>
        <w:tabs>
          <w:tab w:val="clear" w:pos="720"/>
          <w:tab w:val="left" w:pos="2880" w:leader="none"/>
        </w:tabs>
        <w:ind w:hanging="2520" w:start="2880" w:end="0"/>
        <w:jc w:val="both"/>
        <w:rPr/>
      </w:pPr>
      <w:r>
        <w:rPr>
          <w:b/>
          <w:bCs/>
          <w:sz w:val="22"/>
          <w:szCs w:val="22"/>
        </w:rPr>
        <w:t>Primary Delivery Points:</w:t>
        <w:tab/>
      </w:r>
      <w:r>
        <w:rPr>
          <w:sz w:val="22"/>
          <w:szCs w:val="22"/>
        </w:rPr>
        <w:t>Mutually agreed delivery points in the Phoenix, AZ area including:</w:t>
      </w:r>
    </w:p>
    <w:p>
      <w:pPr>
        <w:pStyle w:val="Normal"/>
        <w:numPr>
          <w:ilvl w:val="3"/>
          <w:numId w:val="2"/>
        </w:numPr>
        <w:tabs>
          <w:tab w:val="clear" w:pos="720"/>
          <w:tab w:val="left" w:pos="2880" w:leader="none"/>
        </w:tabs>
        <w:jc w:val="both"/>
        <w:rPr>
          <w:sz w:val="22"/>
          <w:szCs w:val="22"/>
        </w:rPr>
      </w:pPr>
      <w:r>
        <w:rPr>
          <w:sz w:val="22"/>
          <w:szCs w:val="22"/>
        </w:rPr>
        <w:t>Copper Eagle gas storage facility (when commercially available)</w:t>
      </w:r>
    </w:p>
    <w:p>
      <w:pPr>
        <w:pStyle w:val="Normal"/>
        <w:numPr>
          <w:ilvl w:val="3"/>
          <w:numId w:val="2"/>
        </w:numPr>
        <w:tabs>
          <w:tab w:val="clear" w:pos="720"/>
          <w:tab w:val="left" w:pos="2880" w:leader="none"/>
        </w:tabs>
        <w:jc w:val="both"/>
        <w:rPr>
          <w:sz w:val="22"/>
          <w:szCs w:val="22"/>
        </w:rPr>
      </w:pPr>
      <w:r>
        <w:rPr>
          <w:sz w:val="22"/>
          <w:szCs w:val="22"/>
        </w:rPr>
        <w:t>Interconnect with El Paso (EPNG) South System near milepost 618, upstream of EPNG Gila compressor station.</w:t>
      </w:r>
    </w:p>
    <w:p>
      <w:pPr>
        <w:pStyle w:val="Normal"/>
        <w:tabs>
          <w:tab w:val="clear" w:pos="720"/>
          <w:tab w:val="left" w:pos="2880" w:leader="none"/>
        </w:tabs>
        <w:ind w:hanging="2520" w:start="2880" w:end="0"/>
        <w:jc w:val="both"/>
        <w:rPr>
          <w:sz w:val="22"/>
          <w:szCs w:val="22"/>
        </w:rPr>
      </w:pPr>
      <w:r>
        <w:rPr>
          <w:sz w:val="22"/>
          <w:szCs w:val="22"/>
        </w:rPr>
      </w:r>
    </w:p>
    <w:p>
      <w:pPr>
        <w:pStyle w:val="Normal"/>
        <w:tabs>
          <w:tab w:val="clear" w:pos="720"/>
          <w:tab w:val="left" w:pos="2880" w:leader="none"/>
        </w:tabs>
        <w:ind w:hanging="2520" w:start="2880" w:end="0"/>
        <w:jc w:val="both"/>
        <w:rPr>
          <w:sz w:val="22"/>
          <w:szCs w:val="22"/>
        </w:rPr>
      </w:pPr>
      <w:r>
        <w:rPr>
          <w:sz w:val="22"/>
          <w:szCs w:val="22"/>
        </w:rPr>
      </w:r>
    </w:p>
    <w:p>
      <w:pPr>
        <w:pStyle w:val="Normal"/>
        <w:tabs>
          <w:tab w:val="clear" w:pos="720"/>
          <w:tab w:val="left" w:pos="2880" w:leader="none"/>
        </w:tabs>
        <w:ind w:start="360" w:end="0"/>
        <w:jc w:val="both"/>
        <w:rPr/>
      </w:pPr>
      <w:r>
        <w:rPr>
          <w:b/>
          <w:bCs/>
          <w:sz w:val="22"/>
          <w:szCs w:val="22"/>
        </w:rPr>
        <w:t>Primary Receipt Points:</w:t>
        <w:tab/>
      </w:r>
      <w:r>
        <w:rPr>
          <w:sz w:val="22"/>
          <w:szCs w:val="22"/>
        </w:rPr>
        <w:t>Mutually agreed receipt points including:</w:t>
      </w:r>
    </w:p>
    <w:p>
      <w:pPr>
        <w:pStyle w:val="Normal"/>
        <w:numPr>
          <w:ilvl w:val="0"/>
          <w:numId w:val="4"/>
        </w:numPr>
        <w:tabs>
          <w:tab w:val="clear" w:pos="720"/>
          <w:tab w:val="left" w:pos="2880" w:leader="none"/>
          <w:tab w:val="left" w:pos="3240" w:leader="none"/>
        </w:tabs>
        <w:ind w:hanging="720" w:start="3600" w:end="0"/>
        <w:jc w:val="both"/>
        <w:rPr>
          <w:sz w:val="22"/>
          <w:szCs w:val="22"/>
        </w:rPr>
      </w:pPr>
      <w:r>
        <w:rPr>
          <w:sz w:val="22"/>
          <w:szCs w:val="22"/>
        </w:rPr>
        <w:t xml:space="preserve">Transporter’s San Juan Basin Pool.  </w:t>
      </w:r>
    </w:p>
    <w:p>
      <w:pPr>
        <w:pStyle w:val="Normal"/>
        <w:numPr>
          <w:ilvl w:val="3"/>
          <w:numId w:val="2"/>
        </w:numPr>
        <w:tabs>
          <w:tab w:val="clear" w:pos="720"/>
          <w:tab w:val="left" w:pos="2880" w:leader="none"/>
        </w:tabs>
        <w:jc w:val="both"/>
        <w:rPr>
          <w:sz w:val="22"/>
          <w:szCs w:val="22"/>
        </w:rPr>
      </w:pPr>
      <w:r>
        <w:rPr>
          <w:sz w:val="22"/>
          <w:szCs w:val="22"/>
        </w:rPr>
        <w:t>Copper Eagle gas storage facility</w:t>
      </w:r>
    </w:p>
    <w:p>
      <w:pPr>
        <w:pStyle w:val="Normal"/>
        <w:tabs>
          <w:tab w:val="clear" w:pos="720"/>
          <w:tab w:val="left" w:pos="2880" w:leader="none"/>
        </w:tabs>
        <w:ind w:hanging="2520" w:start="2880" w:end="0"/>
        <w:jc w:val="both"/>
        <w:rPr>
          <w:sz w:val="22"/>
          <w:szCs w:val="22"/>
        </w:rPr>
      </w:pPr>
      <w:r>
        <w:rPr>
          <w:sz w:val="22"/>
          <w:szCs w:val="22"/>
        </w:rPr>
      </w:r>
    </w:p>
    <w:p>
      <w:pPr>
        <w:pStyle w:val="Normal"/>
        <w:tabs>
          <w:tab w:val="clear" w:pos="720"/>
          <w:tab w:val="left" w:pos="2880" w:leader="none"/>
        </w:tabs>
        <w:ind w:hanging="2520" w:start="2880" w:end="0"/>
        <w:jc w:val="both"/>
        <w:rPr>
          <w:sz w:val="22"/>
          <w:szCs w:val="22"/>
        </w:rPr>
      </w:pPr>
      <w:r>
        <w:rPr>
          <w:sz w:val="22"/>
          <w:szCs w:val="22"/>
        </w:rPr>
      </w:r>
    </w:p>
    <w:p>
      <w:pPr>
        <w:pStyle w:val="Normal"/>
        <w:tabs>
          <w:tab w:val="clear" w:pos="720"/>
          <w:tab w:val="left" w:pos="2880" w:leader="none"/>
        </w:tabs>
        <w:ind w:hanging="2880" w:start="3240" w:end="0"/>
        <w:jc w:val="both"/>
        <w:rPr/>
      </w:pPr>
      <w:r>
        <w:rPr>
          <w:b/>
          <w:bCs/>
          <w:sz w:val="22"/>
          <w:szCs w:val="22"/>
        </w:rPr>
        <w:t>Services:</w:t>
      </w:r>
      <w:r>
        <w:rPr>
          <w:sz w:val="22"/>
          <w:szCs w:val="22"/>
        </w:rPr>
        <w:tab/>
        <w:t>1.</w:t>
        <w:tab/>
        <w:t>Shipper shall have Primary Firm delivery rights at all of Transporter’s California Border delivery points, up to an aggregate MDQ of 50,000 MMBtu/day, subject to takeaway capability.</w:t>
      </w:r>
    </w:p>
    <w:p>
      <w:pPr>
        <w:pStyle w:val="Normal"/>
        <w:numPr>
          <w:ilvl w:val="0"/>
          <w:numId w:val="3"/>
        </w:numPr>
        <w:jc w:val="both"/>
        <w:rPr>
          <w:sz w:val="22"/>
          <w:szCs w:val="22"/>
        </w:rPr>
      </w:pPr>
      <w:r>
        <w:rPr>
          <w:sz w:val="22"/>
          <w:szCs w:val="22"/>
        </w:rPr>
        <w:t xml:space="preserve">With 12-hour prior notice, Shipper shall have the ability to receive up to the Max Hourly Quantity at the EPNG interconnect point only, but shall not exceed the MDQ. </w:t>
      </w:r>
    </w:p>
    <w:p>
      <w:pPr>
        <w:pStyle w:val="BodyTextIndent"/>
        <w:numPr>
          <w:ilvl w:val="0"/>
          <w:numId w:val="3"/>
        </w:numPr>
        <w:rPr/>
      </w:pPr>
      <w:r>
        <w:rPr/>
        <w:t>Shipper shall have the ability to nominate up to 50,000 MMBtu/day of alternate receipts (backhaul) on Transporter’s system at the TW/EPNG interconnect in the Phoenix area.</w:t>
      </w:r>
    </w:p>
    <w:p>
      <w:pPr>
        <w:pStyle w:val="Normal"/>
        <w:numPr>
          <w:ilvl w:val="0"/>
          <w:numId w:val="3"/>
        </w:numPr>
        <w:jc w:val="both"/>
        <w:rPr>
          <w:sz w:val="22"/>
          <w:szCs w:val="22"/>
        </w:rPr>
      </w:pPr>
      <w:r>
        <w:rPr>
          <w:sz w:val="22"/>
          <w:szCs w:val="22"/>
        </w:rPr>
        <w:t>Shipper shall have alternate receipt and delivery capability anywhere on Transporter’s system at the Contract Rate.</w:t>
      </w:r>
    </w:p>
    <w:p>
      <w:pPr>
        <w:pStyle w:val="BodyTextIndent"/>
        <w:numPr>
          <w:ilvl w:val="0"/>
          <w:numId w:val="3"/>
        </w:numPr>
        <w:rPr/>
      </w:pPr>
      <w:r>
        <w:rPr/>
        <w:t>Shipper shall have the right to direct Transporter to expand Transporter’s Phoenix lateral to serve any future demand required by Shipper at mutually agreeable terms and conditions.</w:t>
      </w:r>
    </w:p>
    <w:p>
      <w:pPr>
        <w:pStyle w:val="Normal"/>
        <w:tabs>
          <w:tab w:val="clear" w:pos="720"/>
          <w:tab w:val="left" w:pos="2880" w:leader="none"/>
        </w:tabs>
        <w:ind w:hanging="2880" w:start="3240" w:end="0"/>
        <w:jc w:val="both"/>
        <w:rPr>
          <w:sz w:val="22"/>
          <w:szCs w:val="22"/>
        </w:rPr>
      </w:pPr>
      <w:r>
        <w:rPr>
          <w:sz w:val="22"/>
          <w:szCs w:val="22"/>
        </w:rPr>
      </w:r>
    </w:p>
    <w:p>
      <w:pPr>
        <w:pStyle w:val="Normal"/>
        <w:tabs>
          <w:tab w:val="clear" w:pos="720"/>
          <w:tab w:val="left" w:pos="2880" w:leader="none"/>
        </w:tabs>
        <w:ind w:hanging="2880" w:start="3240" w:end="0"/>
        <w:jc w:val="both"/>
        <w:rPr>
          <w:sz w:val="22"/>
          <w:szCs w:val="22"/>
        </w:rPr>
      </w:pPr>
      <w:r>
        <w:rPr>
          <w:sz w:val="22"/>
          <w:szCs w:val="22"/>
        </w:rPr>
      </w:r>
    </w:p>
    <w:p>
      <w:pPr>
        <w:pStyle w:val="Normal"/>
        <w:keepNext w:val="true"/>
        <w:keepLines/>
        <w:tabs>
          <w:tab w:val="left" w:pos="360" w:leader="none"/>
          <w:tab w:val="left" w:pos="720" w:leader="none"/>
        </w:tabs>
        <w:spacing w:before="0" w:after="120"/>
        <w:ind w:hanging="360" w:start="360" w:end="0"/>
        <w:jc w:val="both"/>
        <w:rPr>
          <w:b/>
          <w:bCs/>
          <w:sz w:val="22"/>
          <w:szCs w:val="22"/>
        </w:rPr>
      </w:pPr>
      <w:r>
        <w:rPr>
          <w:b/>
          <w:bCs/>
          <w:caps/>
          <w:sz w:val="22"/>
          <w:szCs w:val="22"/>
          <w:u w:val="single"/>
        </w:rPr>
        <w:t>Definitive Agreement</w:t>
      </w:r>
      <w:r>
        <w:rPr>
          <w:b/>
          <w:bCs/>
          <w:caps/>
          <w:sz w:val="22"/>
          <w:szCs w:val="22"/>
        </w:rPr>
        <w:t>:</w:t>
      </w:r>
      <w:r>
        <w:rPr>
          <w:b/>
          <w:bCs/>
          <w:sz w:val="22"/>
          <w:szCs w:val="22"/>
        </w:rPr>
        <w:t xml:space="preserve">  </w:t>
      </w:r>
      <w:r>
        <w:rPr>
          <w:sz w:val="22"/>
          <w:szCs w:val="22"/>
        </w:rPr>
        <w:t>The definitive agreement relating to the Proposed Transaction would include, among other provisions required by the parties, the following terms and conditions:</w:t>
      </w:r>
    </w:p>
    <w:p>
      <w:pPr>
        <w:pStyle w:val="Normal"/>
        <w:keepNext w:val="true"/>
        <w:keepLines/>
        <w:tabs>
          <w:tab w:val="clear" w:pos="720"/>
          <w:tab w:val="left" w:pos="2880" w:leader="none"/>
        </w:tabs>
        <w:ind w:hanging="2520" w:start="2880" w:end="0"/>
        <w:jc w:val="both"/>
        <w:rPr>
          <w:b/>
          <w:bCs/>
          <w:sz w:val="22"/>
          <w:szCs w:val="22"/>
        </w:rPr>
      </w:pPr>
      <w:r>
        <w:rPr>
          <w:b/>
          <w:bCs/>
          <w:sz w:val="22"/>
          <w:szCs w:val="22"/>
        </w:rPr>
        <w:t>General Terms and</w:t>
      </w:r>
    </w:p>
    <w:p>
      <w:pPr>
        <w:pStyle w:val="Normal"/>
        <w:tabs>
          <w:tab w:val="clear" w:pos="720"/>
          <w:tab w:val="left" w:pos="2880" w:leader="none"/>
        </w:tabs>
        <w:ind w:hanging="2520" w:start="2880" w:end="0"/>
        <w:jc w:val="both"/>
        <w:rPr/>
      </w:pPr>
      <w:r>
        <w:rPr>
          <w:b/>
          <w:bCs/>
          <w:sz w:val="22"/>
          <w:szCs w:val="22"/>
        </w:rPr>
        <w:t>Conditions:</w:t>
      </w:r>
      <w:r>
        <w:rPr>
          <w:sz w:val="22"/>
          <w:szCs w:val="22"/>
        </w:rPr>
        <w:tab/>
        <w:t>The definitive agreement for this transaction would contain appropriate provisions for a transaction of this type, including without limitation, provisions relating to representations and warranties, events of default, liquidated damages, credit terms, taxes, transition costs and force majeure.</w:t>
      </w:r>
    </w:p>
    <w:p>
      <w:pPr>
        <w:pStyle w:val="Normal"/>
        <w:tabs>
          <w:tab w:val="clear" w:pos="720"/>
          <w:tab w:val="left" w:pos="2880" w:leader="none"/>
        </w:tabs>
        <w:ind w:hanging="2520" w:start="2880" w:end="0"/>
        <w:jc w:val="both"/>
        <w:rPr>
          <w:sz w:val="22"/>
          <w:szCs w:val="22"/>
        </w:rPr>
      </w:pPr>
      <w:r>
        <w:rPr>
          <w:sz w:val="22"/>
          <w:szCs w:val="22"/>
        </w:rPr>
      </w:r>
    </w:p>
    <w:p>
      <w:pPr>
        <w:pStyle w:val="Normal"/>
        <w:tabs>
          <w:tab w:val="clear" w:pos="720"/>
          <w:tab w:val="left" w:pos="2880" w:leader="none"/>
        </w:tabs>
        <w:ind w:hanging="2520" w:start="2880" w:end="0"/>
        <w:jc w:val="both"/>
        <w:rPr>
          <w:b/>
          <w:bCs/>
          <w:sz w:val="22"/>
          <w:szCs w:val="22"/>
        </w:rPr>
      </w:pPr>
      <w:r>
        <w:rPr>
          <w:b/>
          <w:bCs/>
          <w:sz w:val="22"/>
          <w:szCs w:val="22"/>
        </w:rPr>
        <w:t>Limitation of Damages:</w:t>
        <w:tab/>
      </w:r>
      <w:r>
        <w:rPr>
          <w:sz w:val="22"/>
          <w:szCs w:val="22"/>
        </w:rPr>
        <w:t>In no event will either party be liable for consequential, incidental, punitive, exemplary or indirect damages.</w:t>
      </w:r>
    </w:p>
    <w:p>
      <w:pPr>
        <w:pStyle w:val="Normal"/>
        <w:tabs>
          <w:tab w:val="clear" w:pos="720"/>
          <w:tab w:val="left" w:pos="2880" w:leader="none"/>
        </w:tabs>
        <w:ind w:hanging="2520" w:start="2880" w:end="0"/>
        <w:jc w:val="both"/>
        <w:rPr>
          <w:b/>
          <w:bCs/>
          <w:sz w:val="22"/>
          <w:szCs w:val="22"/>
        </w:rPr>
      </w:pPr>
      <w:r>
        <w:rPr>
          <w:b/>
          <w:bCs/>
          <w:sz w:val="22"/>
          <w:szCs w:val="22"/>
        </w:rPr>
      </w:r>
    </w:p>
    <w:p>
      <w:pPr>
        <w:pStyle w:val="Normal"/>
        <w:keepNext w:val="true"/>
        <w:keepLines/>
        <w:tabs>
          <w:tab w:val="left" w:pos="720" w:leader="none"/>
          <w:tab w:val="left" w:pos="2160" w:leader="none"/>
        </w:tabs>
        <w:spacing w:before="0" w:after="120"/>
        <w:ind w:hanging="2160" w:start="2160" w:end="0"/>
        <w:jc w:val="both"/>
        <w:rPr>
          <w:b/>
          <w:bCs/>
          <w:sz w:val="22"/>
          <w:szCs w:val="22"/>
          <w:u w:val="single"/>
        </w:rPr>
      </w:pPr>
      <w:r>
        <w:rPr>
          <w:b/>
          <w:bCs/>
          <w:caps/>
          <w:sz w:val="22"/>
          <w:szCs w:val="22"/>
          <w:u w:val="single"/>
        </w:rPr>
        <w:t>Confidentiality</w:t>
      </w:r>
      <w:r>
        <w:rPr>
          <w:b/>
          <w:bCs/>
          <w:caps/>
          <w:sz w:val="22"/>
          <w:szCs w:val="22"/>
        </w:rPr>
        <w:t>:</w:t>
      </w:r>
    </w:p>
    <w:p>
      <w:pPr>
        <w:pStyle w:val="Normal"/>
        <w:ind w:start="360" w:end="0"/>
        <w:jc w:val="both"/>
        <w:rPr>
          <w:sz w:val="22"/>
          <w:szCs w:val="22"/>
        </w:rPr>
      </w:pPr>
      <w:r>
        <w:rPr>
          <w:sz w:val="22"/>
          <w:szCs w:val="22"/>
        </w:rPr>
        <w:t>The existence of this Term Sheet and all terms and conditions contained herein are confidential between Transporter and Shipper and their duly appointed representatives and shall not be disclosed to any third parties.</w:t>
      </w:r>
    </w:p>
    <w:p>
      <w:pPr>
        <w:pStyle w:val="Normal"/>
        <w:ind w:start="360" w:end="0"/>
        <w:jc w:val="both"/>
        <w:rPr>
          <w:sz w:val="22"/>
          <w:szCs w:val="22"/>
        </w:rPr>
      </w:pPr>
      <w:r>
        <w:rPr>
          <w:sz w:val="22"/>
          <w:szCs w:val="22"/>
        </w:rPr>
      </w:r>
    </w:p>
    <w:p>
      <w:pPr>
        <w:pStyle w:val="Normal"/>
        <w:ind w:start="360" w:end="0"/>
        <w:jc w:val="both"/>
        <w:rPr>
          <w:sz w:val="22"/>
          <w:szCs w:val="22"/>
        </w:rPr>
      </w:pPr>
      <w:r>
        <w:rPr>
          <w:sz w:val="22"/>
          <w:szCs w:val="22"/>
        </w:rPr>
      </w:r>
    </w:p>
    <w:p>
      <w:pPr>
        <w:pStyle w:val="Normal"/>
        <w:jc w:val="both"/>
        <w:rPr>
          <w:b/>
          <w:bCs/>
          <w:i/>
          <w:i/>
          <w:iCs/>
          <w:sz w:val="22"/>
          <w:szCs w:val="22"/>
        </w:rPr>
      </w:pPr>
      <w:r>
        <w:rPr>
          <w:b/>
          <w:bCs/>
          <w:i/>
          <w:iCs/>
          <w:sz w:val="22"/>
          <w:szCs w:val="22"/>
        </w:rPr>
        <w:t>Consummation of any transaction is subject to, among other matters, the following conditions:  (i) receipt of all necessary or advisable Federal and State regulatory approvals or other approvals (ii) approval by the Board of Directors of Transporter and if applicable, its affiliates, and (iii) negotiation, execution and delivery of a definitive agreement.</w:t>
      </w:r>
    </w:p>
    <w:sectPr>
      <w:headerReference w:type="default" r:id="rId2"/>
      <w:footerReference w:type="default" r:id="rId3"/>
      <w:type w:val="nextPage"/>
      <w:pgSz w:w="12240" w:h="15840"/>
      <w:pgMar w:left="1440" w:right="1440" w:gutter="0" w:header="72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szCs w:val="16"/>
      </w:rPr>
      <w:t>Jkh:sundevil\Duke term_sheet</w:t>
      <w:tab/>
      <w:t xml:space="preserve">Page </w:t>
    </w:r>
    <w:r>
      <w:rPr>
        <w:sz w:val="16"/>
        <w:szCs w:val="16"/>
      </w:rPr>
      <w:fldChar w:fldCharType="begin"/>
    </w:r>
    <w:r>
      <w:rPr>
        <w:sz w:val="16"/>
        <w:szCs w:val="16"/>
      </w:rPr>
      <w:instrText xml:space="preserve"> PAGE </w:instrText>
    </w:r>
    <w:r>
      <w:rPr>
        <w:sz w:val="16"/>
        <w:szCs w:val="16"/>
      </w:rPr>
      <w:fldChar w:fldCharType="separate"/>
    </w:r>
    <w:r>
      <w:rPr>
        <w:sz w:val="16"/>
        <w:szCs w:val="16"/>
      </w:rPr>
      <w:t>2</w:t>
    </w:r>
    <w:r>
      <w:rPr>
        <w:sz w:val="16"/>
        <w:szCs w:val="16"/>
      </w:rPr>
      <w:fldChar w:fldCharType="end"/>
    </w:r>
    <w:r>
      <w:rPr>
        <w:sz w:val="16"/>
        <w:szCs w:val="16"/>
      </w:rPr>
      <w:t xml:space="preserve"> of </w:t>
    </w:r>
    <w:r>
      <w:rPr>
        <w:sz w:val="16"/>
        <w:szCs w:val="16"/>
      </w:rPr>
      <w:fldChar w:fldCharType="begin"/>
    </w:r>
    <w:r>
      <w:rPr>
        <w:sz w:val="16"/>
        <w:szCs w:val="16"/>
      </w:rPr>
      <w:instrText xml:space="preserve"> NUMPAGES \* ARABIC </w:instrText>
    </w:r>
    <w:r>
      <w:rPr>
        <w:sz w:val="16"/>
        <w:szCs w:val="16"/>
      </w:rPr>
      <w:fldChar w:fldCharType="separate"/>
    </w:r>
    <w:r>
      <w:rPr>
        <w:sz w:val="16"/>
        <w:szCs w:val="16"/>
      </w:rPr>
      <w:t>2</w:t>
    </w:r>
    <w:r>
      <w:rPr>
        <w:sz w:val="16"/>
        <w:szCs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i/>
        <w:i/>
        <w:iCs/>
      </w:rPr>
    </w:pPr>
    <w:r>
      <w:rPr>
        <w:i/>
        <w:iCs/>
      </w:rPr>
      <w:t>Confidential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80" w:hanging="360"/>
      </w:pPr>
      <w:rPr>
        <w:rFonts w:ascii="Symbol" w:hAnsi="Symbol" w:cs="Symbol" w:hint="default"/>
      </w:rPr>
    </w:lvl>
    <w:lvl w:ilvl="1">
      <w:start w:val="1"/>
      <w:numFmt w:val="bullet"/>
      <w:lvlText w:val="o"/>
      <w:lvlJc w:val="start"/>
      <w:pPr>
        <w:tabs>
          <w:tab w:val="num" w:pos="1800"/>
        </w:tabs>
        <w:ind w:start="1800" w:hanging="360"/>
      </w:pPr>
      <w:rPr>
        <w:rFonts w:ascii="Courier New" w:hAnsi="Courier New" w:cs="Courier New" w:hint="default"/>
      </w:rPr>
    </w:lvl>
    <w:lvl w:ilvl="2">
      <w:start w:val="1"/>
      <w:numFmt w:val="bullet"/>
      <w:lvlText w:val=""/>
      <w:lvlJc w:val="start"/>
      <w:pPr>
        <w:tabs>
          <w:tab w:val="num" w:pos="2520"/>
        </w:tabs>
        <w:ind w:start="2520" w:hanging="360"/>
      </w:pPr>
      <w:rPr>
        <w:rFonts w:ascii="Wingdings" w:hAnsi="Wingdings" w:cs="Wingdings" w:hint="default"/>
      </w:rPr>
    </w:lvl>
    <w:lvl w:ilvl="3">
      <w:start w:val="1"/>
      <w:numFmt w:val="bullet"/>
      <w:lvlText w:val=""/>
      <w:lvlJc w:val="start"/>
      <w:pPr>
        <w:tabs>
          <w:tab w:val="num" w:pos="3240"/>
        </w:tabs>
        <w:ind w:start="3240" w:hanging="360"/>
      </w:pPr>
      <w:rPr>
        <w:rFonts w:ascii="Symbol" w:hAnsi="Symbol" w:cs="Symbol" w:hint="default"/>
      </w:rPr>
    </w:lvl>
    <w:lvl w:ilvl="4">
      <w:start w:val="1"/>
      <w:numFmt w:val="bullet"/>
      <w:lvlText w:val="o"/>
      <w:lvlJc w:val="start"/>
      <w:pPr>
        <w:tabs>
          <w:tab w:val="num" w:pos="3960"/>
        </w:tabs>
        <w:ind w:start="3960" w:hanging="360"/>
      </w:pPr>
      <w:rPr>
        <w:rFonts w:ascii="Courier New" w:hAnsi="Courier New" w:cs="Courier New" w:hint="default"/>
      </w:rPr>
    </w:lvl>
    <w:lvl w:ilvl="5">
      <w:start w:val="1"/>
      <w:numFmt w:val="bullet"/>
      <w:lvlText w:val=""/>
      <w:lvlJc w:val="start"/>
      <w:pPr>
        <w:tabs>
          <w:tab w:val="num" w:pos="4680"/>
        </w:tabs>
        <w:ind w:start="4680" w:hanging="360"/>
      </w:pPr>
      <w:rPr>
        <w:rFonts w:ascii="Wingdings" w:hAnsi="Wingdings" w:cs="Wingdings" w:hint="default"/>
      </w:rPr>
    </w:lvl>
    <w:lvl w:ilvl="6">
      <w:start w:val="1"/>
      <w:numFmt w:val="bullet"/>
      <w:lvlText w:val=""/>
      <w:lvlJc w:val="start"/>
      <w:pPr>
        <w:tabs>
          <w:tab w:val="num" w:pos="5400"/>
        </w:tabs>
        <w:ind w:start="5400" w:hanging="360"/>
      </w:pPr>
      <w:rPr>
        <w:rFonts w:ascii="Symbol" w:hAnsi="Symbol" w:cs="Symbol" w:hint="default"/>
      </w:rPr>
    </w:lvl>
    <w:lvl w:ilvl="7">
      <w:start w:val="1"/>
      <w:numFmt w:val="bullet"/>
      <w:lvlText w:val="o"/>
      <w:lvlJc w:val="start"/>
      <w:pPr>
        <w:tabs>
          <w:tab w:val="num" w:pos="6120"/>
        </w:tabs>
        <w:ind w:start="6120" w:hanging="360"/>
      </w:pPr>
      <w:rPr>
        <w:rFonts w:ascii="Courier New" w:hAnsi="Courier New" w:cs="Courier New" w:hint="default"/>
      </w:rPr>
    </w:lvl>
    <w:lvl w:ilvl="8">
      <w:start w:val="1"/>
      <w:numFmt w:val="bullet"/>
      <w:lvlText w:val=""/>
      <w:lvlJc w:val="start"/>
      <w:pPr>
        <w:tabs>
          <w:tab w:val="num" w:pos="6840"/>
        </w:tabs>
        <w:ind w:start="6840" w:hanging="360"/>
      </w:pPr>
      <w:rPr>
        <w:rFonts w:ascii="Wingdings" w:hAnsi="Wingdings" w:cs="Wingdings" w:hint="default"/>
      </w:rPr>
    </w:lvl>
  </w:abstractNum>
  <w:abstractNum w:abstractNumId="3">
    <w:lvl w:ilvl="0">
      <w:start w:val="2"/>
      <w:numFmt w:val="decimal"/>
      <w:lvlText w:val="%1."/>
      <w:lvlJc w:val="start"/>
      <w:pPr>
        <w:tabs>
          <w:tab w:val="num" w:pos="3240"/>
        </w:tabs>
        <w:ind w:start="3240" w:hanging="360"/>
      </w:pPr>
      <w:rPr/>
    </w:lvl>
  </w:abstractNum>
  <w:abstractNum w:abstractNumId="4">
    <w:lvl w:ilvl="0">
      <w:start w:val="1"/>
      <w:numFmt w:val="bullet"/>
      <w:lvlText w:val=""/>
      <w:lvlJc w:val="start"/>
      <w:pPr>
        <w:tabs>
          <w:tab w:val="num" w:pos="720"/>
        </w:tabs>
        <w:ind w:start="360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 w:val="left" w:pos="2880" w:leader="none"/>
      </w:tabs>
      <w:jc w:val="center"/>
      <w:outlineLvl w:val="0"/>
    </w:pPr>
    <w:rPr>
      <w:i/>
      <w:iCs/>
      <w:sz w:val="22"/>
      <w:szCs w:val="22"/>
    </w:rPr>
  </w:style>
  <w:style w:type="paragraph" w:styleId="Heading3">
    <w:name w:val="heading 3"/>
    <w:basedOn w:val="Normal"/>
    <w:next w:val="NormalIndent"/>
    <w:qFormat/>
    <w:pPr>
      <w:numPr>
        <w:ilvl w:val="2"/>
        <w:numId w:val="1"/>
      </w:numPr>
      <w:ind w:hanging="0" w:start="360" w:end="0"/>
      <w:outlineLvl w:val="2"/>
    </w:pPr>
    <w:rPr>
      <w:rFonts w:ascii="CG Times (W1)" w:hAnsi="CG Times (W1)" w:cs="CG Times (W1)"/>
      <w:b/>
      <w:bCs/>
    </w:rPr>
  </w:style>
  <w:style w:type="character" w:styleId="WW8Num1z0">
    <w:name w:val="WW8Num1z0"/>
    <w:qFormat/>
    <w:rPr>
      <w:rFonts w:ascii="Symbol" w:hAnsi="Symbol"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Times New Roman"/>
    </w:rPr>
  </w:style>
  <w:style w:type="character" w:styleId="WW8Num1z3">
    <w:name w:val="WW8Num1z3"/>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
    <w:name w:val="Body Text Indent"/>
    <w:basedOn w:val="Normal"/>
    <w:pPr>
      <w:tabs>
        <w:tab w:val="clear" w:pos="720"/>
        <w:tab w:val="left" w:pos="2880" w:leader="none"/>
      </w:tabs>
      <w:ind w:hanging="2880" w:start="3240" w:end="0"/>
      <w:jc w:val="both"/>
    </w:pPr>
    <w:rPr>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2001-11-27T12:13:00Z</dcterms:created>
  <dc:creator>EES</dc:creator>
  <dc:description/>
  <dc:language>en-CA</dc:language>
  <cp:lastModifiedBy>khyatt</cp:lastModifiedBy>
  <cp:lastPrinted>2001-11-27T10:03:00Z</cp:lastPrinted>
  <dcterms:modified xsi:type="dcterms:W3CDTF">2001-11-27T13:36:00Z</dcterms:modified>
  <cp:revision>6</cp:revision>
  <dc:subject/>
  <dc:title>March 28, 1997</dc:title>
</cp:coreProperties>
</file>