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Verdana" w:ascii="Verdana" w:hAnsi="Verdana"/>
          <w:b/>
          <w:bCs/>
          <w:sz w:val="20"/>
          <w:szCs w:val="20"/>
        </w:rPr>
        <w:t>Tuesday, December 5, 2000</w:t>
      </w:r>
      <w:r>
        <w:rPr>
          <w:rFonts w:cs="Verdana" w:ascii="Verdana" w:hAnsi="Verdana"/>
          <w:sz w:val="20"/>
          <w:szCs w:val="20"/>
        </w:rPr>
        <w:t xml:space="preserve"> </w:t>
      </w:r>
    </w:p>
    <w:p>
      <w:pPr>
        <w:pStyle w:val="NormalWeb"/>
        <w:spacing w:before="280" w:after="240"/>
        <w:rPr/>
      </w:pPr>
      <w:r>
        <w:rPr>
          <w:rFonts w:cs="Verdana" w:ascii="Verdana" w:hAnsi="Verdana"/>
          <w:sz w:val="20"/>
          <w:szCs w:val="20"/>
        </w:rPr>
        <w:drawing>
          <wp:inline distT="0" distB="0" distL="0" distR="0">
            <wp:extent cx="3333750" cy="1914525"/>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1" t="-19" r="-11" b="-19"/>
                    <a:stretch>
                      <a:fillRect/>
                    </a:stretch>
                  </pic:blipFill>
                  <pic:spPr bwMode="auto">
                    <a:xfrm>
                      <a:off x="0" y="0"/>
                      <a:ext cx="3333750" cy="1914525"/>
                    </a:xfrm>
                    <a:prstGeom prst="rect">
                      <a:avLst/>
                    </a:prstGeom>
                    <a:noFill/>
                  </pic:spPr>
                </pic:pic>
              </a:graphicData>
            </a:graphic>
          </wp:inline>
        </w:drawing>
      </w:r>
      <w:r>
        <w:rPr>
          <w:rFonts w:cs="Verdana" w:ascii="Verdana" w:hAnsi="Verdana"/>
          <w:sz w:val="20"/>
          <w:szCs w:val="20"/>
        </w:rPr>
        <w:br/>
        <w:br/>
        <w:t xml:space="preserve">By Rick Stouffer </w:t>
        <w:br/>
      </w:r>
      <w:hyperlink r:id="rId3">
        <w:r>
          <w:rPr>
            <w:rStyle w:val="Hyperlink"/>
            <w:rFonts w:cs="Verdana" w:ascii="Verdana" w:hAnsi="Verdana"/>
            <w:sz w:val="20"/>
            <w:szCs w:val="20"/>
          </w:rPr>
          <w:t>rstouffer@ftenergy.com</w:t>
        </w:r>
      </w:hyperlink>
      <w:r>
        <w:rPr>
          <w:rFonts w:cs="Verdana" w:ascii="Verdana" w:hAnsi="Verdana"/>
          <w:sz w:val="20"/>
          <w:szCs w:val="20"/>
        </w:rPr>
        <w:t xml:space="preserve"> </w:t>
      </w:r>
    </w:p>
    <w:p>
      <w:pPr>
        <w:pStyle w:val="NormalWeb"/>
        <w:rPr>
          <w:rFonts w:ascii="Verdana" w:hAnsi="Verdana" w:cs="Verdana"/>
          <w:sz w:val="20"/>
          <w:szCs w:val="20"/>
        </w:rPr>
      </w:pPr>
      <w:r>
        <w:rPr>
          <w:rFonts w:cs="Verdana" w:ascii="Verdana" w:hAnsi="Verdana"/>
          <w:sz w:val="20"/>
          <w:szCs w:val="20"/>
        </w:rPr>
        <w:t xml:space="preserve">If necessity is the mother of invention, the California deregulation debacle is looking for a good dose of inventiveness. </w:t>
      </w:r>
    </w:p>
    <w:p>
      <w:pPr>
        <w:pStyle w:val="NormalWeb"/>
        <w:rPr>
          <w:rFonts w:ascii="Verdana" w:hAnsi="Verdana" w:cs="Verdana"/>
          <w:sz w:val="20"/>
          <w:szCs w:val="20"/>
        </w:rPr>
      </w:pPr>
      <w:r>
        <w:rPr>
          <w:rFonts w:cs="Verdana" w:ascii="Verdana" w:hAnsi="Verdana"/>
          <w:sz w:val="20"/>
          <w:szCs w:val="20"/>
        </w:rPr>
        <w:t xml:space="preserve">Give Duke Energy an "A" for effort. Recognizing a chance to, in its words, "put forth another bold solution to California's electricity crisis," garner warm feelings from battered San Diego Gas &amp; Electric customers—and potentially make a lot of money, too, Duke's wholesale energy unit has offered to manage SDG&amp;E's entire load. The deal includes 3,300 MW at a fixed price of $60 per MWh, for a five-year period, enough power to serve SDG&amp;E's retail needs on the hottest summer day, Duke said. </w:t>
      </w:r>
    </w:p>
    <w:p>
      <w:pPr>
        <w:pStyle w:val="NormalWeb"/>
        <w:rPr/>
      </w:pPr>
      <w:r>
        <w:rPr>
          <w:rFonts w:cs="Verdana" w:ascii="Verdana" w:hAnsi="Verdana"/>
          <w:b/>
          <w:bCs/>
          <w:sz w:val="20"/>
          <w:szCs w:val="20"/>
        </w:rPr>
        <w:t>Not Duke's first offer</w:t>
      </w:r>
      <w:r>
        <w:rPr>
          <w:rFonts w:cs="Verdana" w:ascii="Verdana" w:hAnsi="Verdana"/>
          <w:sz w:val="20"/>
          <w:szCs w:val="20"/>
        </w:rPr>
        <w:br/>
        <w:t xml:space="preserve">Critics say it's a headline-grabbing maneuver. Duke Energy North America (DENA) says it's trying to ease a horrible situation, and some industry watchers see good—and bad points for each side. </w:t>
      </w:r>
    </w:p>
    <w:p>
      <w:pPr>
        <w:pStyle w:val="NormalWeb"/>
        <w:rPr>
          <w:rFonts w:ascii="Verdana" w:hAnsi="Verdana" w:cs="Verdana"/>
          <w:sz w:val="20"/>
          <w:szCs w:val="20"/>
        </w:rPr>
      </w:pPr>
      <w:r>
        <w:rPr>
          <w:rFonts w:cs="Verdana" w:ascii="Verdana" w:hAnsi="Verdana"/>
          <w:sz w:val="20"/>
          <w:szCs w:val="20"/>
        </w:rPr>
        <w:t xml:space="preserve">"This is not a public relations ploy," said DENA spokesman Tom Williams. "We've been talking to San Diego Gas &amp; Electric representatives since August." </w:t>
      </w:r>
    </w:p>
    <w:p>
      <w:pPr>
        <w:pStyle w:val="NormalWeb"/>
        <w:rPr>
          <w:rFonts w:ascii="Verdana" w:hAnsi="Verdana" w:cs="Verdana"/>
          <w:sz w:val="20"/>
          <w:szCs w:val="20"/>
        </w:rPr>
      </w:pPr>
      <w:r>
        <w:drawing>
          <wp:anchor behindDoc="0" distT="0" distB="0" distL="0" distR="0" simplePos="0" locked="0" layoutInCell="0" allowOverlap="1" relativeHeight="3">
            <wp:simplePos x="0" y="0"/>
            <wp:positionH relativeFrom="column">
              <wp:posOffset>-1143000</wp:posOffset>
            </wp:positionH>
            <wp:positionV relativeFrom="line">
              <wp:posOffset>-6673850</wp:posOffset>
            </wp:positionV>
            <wp:extent cx="1828800" cy="685800"/>
            <wp:effectExtent l="0" t="0" r="0" b="0"/>
            <wp:wrapSquare wrapText="bothSides"/>
            <wp:docPr id="2" name="pic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 descr="" title=""/>
                    <pic:cNvPicPr>
                      <a:picLocks noChangeAspect="1" noChangeArrowheads="1"/>
                    </pic:cNvPicPr>
                  </pic:nvPicPr>
                  <pic:blipFill>
                    <a:blip r:embed="rId4"/>
                    <a:srcRect l="-20" t="-52" r="-20" b="-52"/>
                    <a:stretch>
                      <a:fillRect/>
                    </a:stretch>
                  </pic:blipFill>
                  <pic:spPr bwMode="auto">
                    <a:xfrm>
                      <a:off x="0" y="0"/>
                      <a:ext cx="1828800" cy="685800"/>
                    </a:xfrm>
                    <a:prstGeom prst="rect">
                      <a:avLst/>
                    </a:prstGeom>
                    <a:noFill/>
                  </pic:spPr>
                </pic:pic>
              </a:graphicData>
            </a:graphic>
          </wp:anchor>
        </w:drawing>
      </w:r>
      <w:r>
        <w:rPr>
          <w:rFonts w:cs="Verdana" w:ascii="Verdana" w:hAnsi="Verdana"/>
          <w:sz w:val="20"/>
          <w:szCs w:val="20"/>
        </w:rPr>
        <w:t xml:space="preserve">This isn't the first time DENA has come forward with a plan to provide a set amount of power at a set price for a set period of time. On July 31, the proposal was made to California Gov. Gray Davis: 2,000 MW at $50 per MWh for five years, beginning this past Sept. 1. Davis did not bite, but two of the state's investor-owned utilities, Edison International's Southern California Edison and PG&amp;E Corp.'s Pacific Gas &amp; Electric, kept negotiating and have signed undisclosed wholesale pacts with DENA. </w:t>
      </w:r>
    </w:p>
    <w:p>
      <w:pPr>
        <w:pStyle w:val="NormalWeb"/>
        <w:rPr>
          <w:rFonts w:ascii="Verdana" w:hAnsi="Verdana" w:cs="Verdana"/>
          <w:sz w:val="20"/>
          <w:szCs w:val="20"/>
        </w:rPr>
      </w:pPr>
      <w:r>
        <w:rPr>
          <w:rFonts w:cs="Verdana" w:ascii="Verdana" w:hAnsi="Verdana"/>
          <w:sz w:val="20"/>
          <w:szCs w:val="20"/>
        </w:rPr>
        <w:t xml:space="preserve">San Diego Gas &amp; Electric likewise admits it has signed some bilateral contracts, but refuses further comment. </w:t>
      </w:r>
    </w:p>
    <w:p>
      <w:pPr>
        <w:pStyle w:val="NormalWeb"/>
        <w:rPr>
          <w:rFonts w:ascii="Verdana" w:hAnsi="Verdana" w:cs="Verdana"/>
          <w:sz w:val="20"/>
          <w:szCs w:val="20"/>
        </w:rPr>
      </w:pPr>
      <w:r>
        <w:rPr>
          <w:rFonts w:cs="Verdana" w:ascii="Verdana" w:hAnsi="Verdana"/>
          <w:sz w:val="20"/>
          <w:szCs w:val="20"/>
        </w:rPr>
        <w:t xml:space="preserve">"We have entered in contracts for a portion of our load, but I can't say with whom, at what price or for how long," SDG&amp;E spokesman Art Larson said. </w:t>
      </w:r>
    </w:p>
    <w:p>
      <w:pPr>
        <w:pStyle w:val="NormalWeb"/>
        <w:rPr>
          <w:rFonts w:ascii="Verdana" w:hAnsi="Verdana" w:cs="Verdana"/>
          <w:sz w:val="20"/>
          <w:szCs w:val="20"/>
        </w:rPr>
      </w:pPr>
      <w:r>
        <w:rPr>
          <w:rFonts w:cs="Verdana" w:ascii="Verdana" w:hAnsi="Verdana"/>
          <w:sz w:val="20"/>
          <w:szCs w:val="20"/>
        </w:rPr>
        <w:t xml:space="preserve">One caveat to DENA's offer to handle all of SDG&amp;E's electricity needs is that under current California law, such a deal is illegal. Investor-owned utilities are allowed to purchase only up to 50% of their needs—in SDG&amp;E's case about 1,700 MW—with the remainder to come via the California Power Exchange. </w:t>
      </w:r>
    </w:p>
    <w:p>
      <w:pPr>
        <w:pStyle w:val="NormalWeb"/>
        <w:rPr/>
      </w:pPr>
      <w:r>
        <w:rPr>
          <w:rFonts w:cs="Verdana" w:ascii="Verdana" w:hAnsi="Verdana"/>
          <w:b/>
          <w:bCs/>
          <w:sz w:val="20"/>
          <w:szCs w:val="20"/>
        </w:rPr>
        <w:t>Both companies accepting risk with DENA's offer</w:t>
      </w:r>
      <w:r>
        <w:rPr>
          <w:rFonts w:cs="Verdana" w:ascii="Verdana" w:hAnsi="Verdana"/>
          <w:sz w:val="20"/>
          <w:szCs w:val="20"/>
        </w:rPr>
        <w:br/>
        <w:t xml:space="preserve">Analysts said both companies could be taking a risk signing a deal. SDG&amp;E already is in the hole to the tune of roughly $800 million—what the company has paid on the wholesale market for power while residential and small-business customers' bills remain capped at 6.5 cents per kWh. While the undercollected millions currently are large red marks only on paper, some day soon the bill will come due. Duke, meanwhile, is betting on the performance of the plants it currently has and will have in California, and the strength of its trading and marketing operation to provide the 3,000 MW. </w:t>
      </w:r>
    </w:p>
    <w:p>
      <w:pPr>
        <w:pStyle w:val="NormalWeb"/>
        <w:rPr>
          <w:rFonts w:ascii="Verdana" w:hAnsi="Verdana" w:cs="Verdana"/>
          <w:sz w:val="20"/>
          <w:szCs w:val="20"/>
        </w:rPr>
      </w:pPr>
      <w:r>
        <w:rPr>
          <w:rFonts w:cs="Verdana" w:ascii="Verdana" w:hAnsi="Verdana"/>
          <w:sz w:val="20"/>
          <w:szCs w:val="20"/>
        </w:rPr>
        <w:t xml:space="preserve">"This is an issue having to do with risk management," according to Gerald Keenan, energy strategy partner in Chicago with PricewaterhouseCoopers (PwC). "San Diego Gas &amp; Electric appears to have significant exposure through 2003, with some uncertainty of whether or not it can collect that money. San Diego Gas &amp; Electric must choose whether it is willing to accept one price for everything, or better off constructing a portfolio." </w:t>
      </w:r>
    </w:p>
    <w:p>
      <w:pPr>
        <w:pStyle w:val="NormalWeb"/>
        <w:rPr>
          <w:rFonts w:ascii="Verdana" w:hAnsi="Verdana" w:cs="Verdana"/>
          <w:sz w:val="20"/>
          <w:szCs w:val="20"/>
        </w:rPr>
      </w:pPr>
      <w:r>
        <w:rPr>
          <w:rFonts w:cs="Verdana" w:ascii="Verdana" w:hAnsi="Verdana"/>
          <w:sz w:val="20"/>
          <w:szCs w:val="20"/>
        </w:rPr>
        <w:t xml:space="preserve">SDG&amp;E's Larson said Duke's offer—which he emphasized had been made first to the Federal Energy Regulatory Commission, then to the media prior to being formally proposed to SDG&amp;E—may have been put forth to beat any regulatory changes placed on a California system that most industry watchers say needs a major overhaul. The utility also is looking forward to more plants being built within the next few years. No fewer than 22 plants are on the drawing board, with four being upgraded. Combined, the facilities will generate roughly 16,000 MW, nearly one-third of the state's maximum need. Five plants and 2,183 MW are expected to be on-line within 10 months. </w:t>
      </w:r>
    </w:p>
    <w:p>
      <w:pPr>
        <w:pStyle w:val="NormalWeb"/>
        <w:rPr>
          <w:rFonts w:ascii="Verdana" w:hAnsi="Verdana" w:cs="Verdana"/>
          <w:sz w:val="20"/>
          <w:szCs w:val="20"/>
        </w:rPr>
      </w:pPr>
      <w:r>
        <w:drawing>
          <wp:anchor behindDoc="0" distT="0" distB="0" distL="0" distR="0" simplePos="0" locked="0" layoutInCell="0" allowOverlap="1" relativeHeight="4">
            <wp:simplePos x="0" y="0"/>
            <wp:positionH relativeFrom="column">
              <wp:posOffset>-1143000</wp:posOffset>
            </wp:positionH>
            <wp:positionV relativeFrom="line">
              <wp:posOffset>-5638800</wp:posOffset>
            </wp:positionV>
            <wp:extent cx="1333500" cy="752475"/>
            <wp:effectExtent l="0" t="0" r="0" b="0"/>
            <wp:wrapSquare wrapText="bothSides"/>
            <wp:docPr id="3" name="pic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2" descr="" title=""/>
                    <pic:cNvPicPr>
                      <a:picLocks noChangeAspect="1" noChangeArrowheads="1"/>
                    </pic:cNvPicPr>
                  </pic:nvPicPr>
                  <pic:blipFill>
                    <a:blip r:embed="rId5"/>
                    <a:srcRect l="-27" t="-48" r="-27" b="-48"/>
                    <a:stretch>
                      <a:fillRect/>
                    </a:stretch>
                  </pic:blipFill>
                  <pic:spPr bwMode="auto">
                    <a:xfrm>
                      <a:off x="0" y="0"/>
                      <a:ext cx="1333500" cy="752475"/>
                    </a:xfrm>
                    <a:prstGeom prst="rect">
                      <a:avLst/>
                    </a:prstGeom>
                    <a:noFill/>
                  </pic:spPr>
                </pic:pic>
              </a:graphicData>
            </a:graphic>
          </wp:anchor>
        </w:drawing>
      </w:r>
      <w:r>
        <w:rPr>
          <w:rFonts w:cs="Verdana" w:ascii="Verdana" w:hAnsi="Verdana"/>
          <w:sz w:val="20"/>
          <w:szCs w:val="20"/>
        </w:rPr>
        <w:t xml:space="preserve">"For San Diego Gas &amp; Electric to lock in long-term doesn't make sense, especially with so much new generation coming on-line over the next two years and driving down costs," said Will McNamara, director of electric industry analysis for Scientech in Albuquerque, N.M. </w:t>
      </w:r>
    </w:p>
    <w:p>
      <w:pPr>
        <w:pStyle w:val="NormalWeb"/>
        <w:rPr>
          <w:rFonts w:ascii="Verdana" w:hAnsi="Verdana" w:cs="Verdana"/>
          <w:sz w:val="20"/>
          <w:szCs w:val="20"/>
        </w:rPr>
      </w:pPr>
      <w:r>
        <w:rPr>
          <w:rFonts w:cs="Verdana" w:ascii="Verdana" w:hAnsi="Verdana"/>
          <w:sz w:val="20"/>
          <w:szCs w:val="20"/>
        </w:rPr>
        <w:t xml:space="preserve">But will the power needed in California—new plants or not—be available? That all depends on whose projections you believe. The California Energy Commission's summer 2001 projection, released Nov. 20, said a combination of existing and new construction in-state, plus energy conservation and imports from elsewhere in the West, should give California enough power to meet its needs—provided "most likely" temperature conditions are experienced. </w:t>
      </w:r>
    </w:p>
    <w:p>
      <w:pPr>
        <w:pStyle w:val="NormalWeb"/>
        <w:rPr/>
      </w:pPr>
      <w:r>
        <w:rPr>
          <w:rFonts w:cs="Verdana" w:ascii="Verdana" w:hAnsi="Verdana"/>
          <w:b/>
          <w:bCs/>
          <w:sz w:val="20"/>
          <w:szCs w:val="20"/>
        </w:rPr>
        <w:t>Relying on 'normal' weather conditions can be risky</w:t>
      </w:r>
      <w:r>
        <w:rPr>
          <w:rFonts w:cs="Verdana" w:ascii="Verdana" w:hAnsi="Verdana"/>
          <w:sz w:val="20"/>
          <w:szCs w:val="20"/>
        </w:rPr>
        <w:br/>
        <w:t xml:space="preserve">Betting on normal weather may be like spitting into the wind—you could get all wet. Just ask southern Californians about this past summer, and even now, days before Christmas, temperatures have been abnormally cold, meaning continued strain on a Band-Aid-patched system. Price spikes this summer of $750 per MWh were not uncommon, and even now, $200 per MWh prices still are ringing in people's ears. </w:t>
      </w:r>
    </w:p>
    <w:p>
      <w:pPr>
        <w:pStyle w:val="NormalWeb"/>
        <w:rPr>
          <w:rFonts w:ascii="Verdana" w:hAnsi="Verdana" w:cs="Verdana"/>
          <w:sz w:val="20"/>
          <w:szCs w:val="20"/>
        </w:rPr>
      </w:pPr>
      <w:r>
        <w:rPr>
          <w:rFonts w:cs="Verdana" w:ascii="Verdana" w:hAnsi="Verdana"/>
          <w:sz w:val="20"/>
          <w:szCs w:val="20"/>
        </w:rPr>
        <w:t xml:space="preserve">And while the California Energy Commission predicts adequate supplies for the summer of 2001, the California Independent System Operator (CAISO) sees through the glass darkly. CAISO on Nov. 21 projected a "resource deficiency" of 2,960 MW under normal summer temperatures, and a whopping 4,152 MW if 2001 is a long, hot summer. </w:t>
      </w:r>
    </w:p>
    <w:p>
      <w:pPr>
        <w:pStyle w:val="NormalWeb"/>
        <w:rPr>
          <w:rFonts w:ascii="Verdana" w:hAnsi="Verdana" w:cs="Verdana"/>
          <w:sz w:val="20"/>
          <w:szCs w:val="20"/>
        </w:rPr>
      </w:pPr>
      <w:r>
        <w:rPr>
          <w:rFonts w:cs="Verdana" w:ascii="Verdana" w:hAnsi="Verdana"/>
          <w:sz w:val="20"/>
          <w:szCs w:val="20"/>
        </w:rPr>
        <w:t xml:space="preserve">So, it comes down to whether or not SDG&amp;E decides to go with a sure thing in DENA's proposal (provided existing law is changed), even though $60 per MWh is bumping up against the state's existing rate cap, or roll the proverbial dice, betting on proposed new generation indeed coming on-line, imports meeting projections and some type of regulatory relief being instituted. </w:t>
      </w:r>
    </w:p>
    <w:p>
      <w:pPr>
        <w:pStyle w:val="NormalWeb"/>
        <w:rPr>
          <w:rFonts w:ascii="Verdana" w:hAnsi="Verdana" w:cs="Verdana"/>
          <w:sz w:val="20"/>
          <w:szCs w:val="20"/>
        </w:rPr>
      </w:pPr>
      <w:r>
        <w:rPr>
          <w:rFonts w:cs="Verdana" w:ascii="Verdana" w:hAnsi="Verdana"/>
          <w:sz w:val="20"/>
          <w:szCs w:val="20"/>
        </w:rPr>
        <w:t xml:space="preserve">"Does it made sense for San Diego Gas &amp; Electric to fix a price at the peak of the market?" asked PwC's Keenan. "Does it go for certainty today or not?" </w:t>
      </w:r>
    </w:p>
    <w:p>
      <w:pPr>
        <w:pStyle w:val="NormalWeb"/>
        <w:rPr>
          <w:rFonts w:ascii="Verdana" w:hAnsi="Verdana" w:cs="Verdana"/>
          <w:sz w:val="20"/>
          <w:szCs w:val="20"/>
        </w:rPr>
      </w:pPr>
      <w:r>
        <w:rPr>
          <w:rFonts w:cs="Verdana" w:ascii="Verdana" w:hAnsi="Verdana"/>
          <w:sz w:val="20"/>
          <w:szCs w:val="20"/>
        </w:rPr>
        <w:t xml:space="preserve">Keenan added that should both SDG&amp;E and the California Public Utility Commission agree to the deal and the price of power in four years falls to, say $40 per MWh, is the utility once more at significant risk—both financially and politically? </w:t>
      </w:r>
    </w:p>
    <w:p>
      <w:pPr>
        <w:pStyle w:val="NormalWeb"/>
        <w:rPr>
          <w:rFonts w:ascii="Verdana" w:hAnsi="Verdana" w:cs="Verdana"/>
          <w:sz w:val="20"/>
          <w:szCs w:val="20"/>
        </w:rPr>
      </w:pPr>
      <w:r>
        <w:rPr>
          <w:rFonts w:cs="Verdana" w:ascii="Verdana" w:hAnsi="Verdana"/>
          <w:sz w:val="20"/>
          <w:szCs w:val="20"/>
        </w:rPr>
        <w:t xml:space="preserve">While SDG&amp;E is mulling over DENA's proposal, along with other marketers' deals, Duke's Williams said its proposal has a great deal of wiggle room built in. </w:t>
      </w:r>
    </w:p>
    <w:p>
      <w:pPr>
        <w:pStyle w:val="NormalWeb"/>
        <w:rPr>
          <w:rFonts w:ascii="Verdana" w:hAnsi="Verdana" w:cs="Verdana"/>
          <w:sz w:val="20"/>
          <w:szCs w:val="20"/>
        </w:rPr>
      </w:pPr>
      <w:r>
        <w:rPr>
          <w:rFonts w:cs="Verdana" w:ascii="Verdana" w:hAnsi="Verdana"/>
          <w:sz w:val="20"/>
          <w:szCs w:val="20"/>
        </w:rPr>
        <w:t>"Our 3,300 MW offer is only a starting point," Williams said. "We've previously done (with other companies) two-, three-, four-year deals; we've done on-peak and off-peak deals. Our feeling is that San Diego Gas &amp; Electric needs to make a deal—with someone. If not us, then with someone else."</w:t>
      </w:r>
    </w:p>
    <w:p>
      <w:pPr>
        <w:pStyle w:val="Normal"/>
        <w:rPr>
          <w:rFonts w:ascii="Verdana" w:hAnsi="Verdana" w:cs="Verdana"/>
          <w:sz w:val="20"/>
          <w:szCs w:val="20"/>
        </w:rPr>
      </w:pPr>
      <w:r>
        <w:rPr>
          <w:rFonts w:cs="Verdana" w:ascii="Verdana" w:hAnsi="Verdana"/>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stouffer@ftenergy.co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2000-12-05T15:26:00Z</dcterms:created>
  <dc:creator>mbuster</dc:creator>
  <dc:description/>
  <dc:language>en-CA</dc:language>
  <cp:lastModifiedBy>mbuster</cp:lastModifiedBy>
  <dcterms:modified xsi:type="dcterms:W3CDTF">2000-12-05T15:29:00Z</dcterms:modified>
  <cp:revision>1</cp:revision>
  <dc:subject/>
  <dc:title>Tuesday, December 5, 2000 </dc:title>
</cp:coreProperties>
</file>