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11, 2000</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Duke Energy Trading and Marketing, L.L.C.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(713) 260-1825</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NY8587.1</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This Transaction was entered into between the parties via EnronOnline.</w:t>
        <w:t>EnronOnline Deal No: 415670</w:t>
      </w:r>
      <w:r>
        <w:rPr>
          <w:sz w:val="22"/>
          <w:b/>
        </w:rPr>
        <w:fldChar w:fldCharType="end"/>
      </w:r>
    </w:p>
    <w:p>
      <w:pPr>
        <w:pStyle w:val="Normal"/>
        <w:rPr>
          <w:b/>
          <w:sz w:val="22"/>
        </w:rPr>
      </w:pPr>
      <w:r>
        <w:rPr>
          <w:b/>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October 17, 1997</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10,000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11,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October 01,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October 31,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October 01, 2000 and ending on October 31, 2000.</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$5.02000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settlement price for the last scheduled Trading Day of the NYMEX Henry Hub Natural Gas Futures Contract for the applicable Calculation Period</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ind w:firstLine="720" w:end="0"/>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 xml:space="preserve"> </w:t>
              <w:br/>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Kevin Meredith</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Agent and Attorney-in-Fact</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NY8587.1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Duke Energy Trading and Marketing, L.L.C.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continuous"/>
      <w:pgSz w:w="12240" w:h="15840"/>
      <w:pgMar w:left="1152" w:right="864" w:gutter="0" w:header="720" w:top="864" w:footer="720" w:bottom="86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NY8587.1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2000-09-26T16:31:00Z</dcterms:created>
  <dc:creator>ECT</dc:creator>
  <dc:description/>
  <dc:language>en-CA</dc:language>
  <cp:lastModifiedBy>kmeredi</cp:lastModifiedBy>
  <dcterms:modified xsi:type="dcterms:W3CDTF">2000-09-26T16:31:00Z</dcterms:modified>
  <cp:revision>2</cp:revision>
  <dc:subject>Duke Energy Trading and Marketing, L.L.C.</dc:subject>
  <dc:title>NY8587.1</dc:title>
</cp:coreProperties>
</file>