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pPr>
      <w:r>
        <w:rPr/>
      </w:r>
    </w:p>
    <w:p>
      <w:pPr>
        <w:pStyle w:val="VEBodyText"/>
        <w:numPr>
          <w:ilvl w:val="0"/>
          <w:numId w:val="0"/>
        </w:numPr>
        <w:jc w:val="center"/>
        <w:outlineLvl w:val="0"/>
        <w:rPr>
          <w:b/>
        </w:rPr>
      </w:pPr>
      <w:r>
        <w:rPr>
          <w:b/>
        </w:rPr>
        <w:t>Initial Due Diligence Questions to be Posed to Enron</w:t>
      </w:r>
    </w:p>
    <w:p>
      <w:pPr>
        <w:pStyle w:val="VEBodyText"/>
        <w:jc w:val="start"/>
        <w:rPr>
          <w:b/>
        </w:rPr>
      </w:pPr>
      <w:r>
        <w:rPr>
          <w:b/>
        </w:rPr>
      </w:r>
    </w:p>
    <w:p>
      <w:pPr>
        <w:pStyle w:val="VEBodyText"/>
        <w:jc w:val="center"/>
        <w:rPr>
          <w:b/>
          <w:u w:val="single"/>
        </w:rPr>
      </w:pPr>
      <w:r>
        <w:rPr>
          <w:b/>
          <w:u w:val="single"/>
        </w:rPr>
        <w:t>PROPERTY TAXES ONLY</w:t>
      </w:r>
    </w:p>
    <w:p>
      <w:pPr>
        <w:pStyle w:val="VEBodyText"/>
        <w:jc w:val="center"/>
        <w:rPr>
          <w:b/>
          <w:u w:val="single"/>
        </w:rPr>
      </w:pPr>
      <w:r>
        <w:rPr>
          <w:b/>
          <w:u w:val="single"/>
        </w:rPr>
      </w:r>
    </w:p>
    <w:p>
      <w:pPr>
        <w:pStyle w:val="VEBodyText"/>
        <w:jc w:val="center"/>
        <w:rPr>
          <w:b/>
          <w:u w:val="single"/>
        </w:rPr>
      </w:pPr>
      <w:r>
        <w:rPr>
          <w:b/>
          <w:u w:val="single"/>
        </w:rPr>
        <w:t>LINCOLN  CENTER</w:t>
      </w:r>
    </w:p>
    <w:p>
      <w:pPr>
        <w:pStyle w:val="VEBodyText"/>
        <w:numPr>
          <w:ilvl w:val="1"/>
          <w:numId w:val="1"/>
        </w:numPr>
        <w:rPr>
          <w:u w:val="single"/>
        </w:rPr>
      </w:pPr>
      <w:r>
        <w:rPr>
          <w:u w:val="single"/>
        </w:rPr>
        <w:t>Tax</w:t>
      </w:r>
    </w:p>
    <w:p>
      <w:pPr>
        <w:pStyle w:val="VEBodyText"/>
        <w:numPr>
          <w:ilvl w:val="2"/>
          <w:numId w:val="1"/>
        </w:numPr>
        <w:rPr/>
      </w:pPr>
      <w:r>
        <w:rPr/>
        <w:t xml:space="preserve">What was the total construction cost (hard and soft costs) of the Lincoln Energy Center?  (An itemized list would be preferable.)  </w:t>
      </w:r>
      <w:r>
        <w:rPr>
          <w:b/>
          <w:u w:val="single"/>
        </w:rPr>
        <w:t>DON MILLER TO ANSWER</w:t>
      </w:r>
    </w:p>
    <w:p>
      <w:pPr>
        <w:pStyle w:val="VEBodyText"/>
        <w:numPr>
          <w:ilvl w:val="2"/>
          <w:numId w:val="1"/>
        </w:numPr>
        <w:rPr/>
      </w:pPr>
      <w:r>
        <w:rPr/>
        <w:t xml:space="preserve">Also, what was the purchase price for the 50 acre parcel upon which the plant was constructed? </w:t>
      </w:r>
      <w:r>
        <w:rPr>
          <w:b/>
          <w:u w:val="single"/>
        </w:rPr>
        <w:t>$1,525,000.</w:t>
      </w:r>
    </w:p>
    <w:p>
      <w:pPr>
        <w:pStyle w:val="VEBodyText"/>
        <w:jc w:val="center"/>
        <w:rPr>
          <w:b/>
          <w:u w:val="single"/>
        </w:rPr>
      </w:pPr>
      <w:r>
        <w:rPr>
          <w:b/>
          <w:u w:val="single"/>
        </w:rPr>
        <w:t>WHEATLAND</w:t>
      </w:r>
    </w:p>
    <w:p>
      <w:pPr>
        <w:pStyle w:val="VEBodyText"/>
        <w:numPr>
          <w:ilvl w:val="2"/>
          <w:numId w:val="1"/>
        </w:numPr>
        <w:rPr/>
      </w:pPr>
      <w:r>
        <w:rPr/>
        <w:t>Property Taxes</w:t>
      </w:r>
    </w:p>
    <w:p>
      <w:pPr>
        <w:pStyle w:val="VEBodyText"/>
        <w:numPr>
          <w:ilvl w:val="3"/>
          <w:numId w:val="1"/>
        </w:numPr>
        <w:rPr/>
      </w:pPr>
      <w:r>
        <w:rPr/>
        <w:t xml:space="preserve">May installment on Parcels III and IV are delinquent as of October 10, 2000.  When will payment be made?  </w:t>
      </w:r>
      <w:r>
        <w:rPr>
          <w:b/>
          <w:u w:val="single"/>
        </w:rPr>
        <w:t>WE NEED PARCEL NUMBERS- PARCELS 3 &amp; 4 MEAN NOTHING TO US.  WE ARE NOT AWARE OF ANY DELINQUENCIES ON COMPANY OWNED PROPERTY.</w:t>
      </w:r>
    </w:p>
    <w:p>
      <w:pPr>
        <w:pStyle w:val="VEBodyText"/>
        <w:numPr>
          <w:ilvl w:val="3"/>
          <w:numId w:val="1"/>
        </w:numPr>
        <w:rPr/>
      </w:pPr>
      <w:r>
        <w:rPr/>
        <w:t xml:space="preserve">We will need evidence of payment of November 10, 2000 installments when made. </w:t>
      </w:r>
      <w:r>
        <w:rPr>
          <w:b/>
          <w:u w:val="single"/>
        </w:rPr>
        <w:t>PAYMENT WILL BE MADE APPROXIMATELY ONE WEEK BEFORE THE DELINQUENCY DATE OF NOVEMBER 10.</w:t>
      </w:r>
    </w:p>
    <w:p>
      <w:pPr>
        <w:pStyle w:val="VEBodyText"/>
        <w:numPr>
          <w:ilvl w:val="1"/>
          <w:numId w:val="1"/>
        </w:numPr>
        <w:rPr>
          <w:u w:val="single"/>
        </w:rPr>
      </w:pPr>
      <w:r>
        <w:rPr>
          <w:u w:val="single"/>
        </w:rPr>
        <w:t>Tax</w:t>
      </w:r>
    </w:p>
    <w:p>
      <w:pPr>
        <w:pStyle w:val="VEBodyText"/>
        <w:numPr>
          <w:ilvl w:val="2"/>
          <w:numId w:val="1"/>
        </w:numPr>
        <w:rPr/>
      </w:pPr>
      <w:r>
        <w:rPr/>
        <w:t xml:space="preserve">For property tax purposes, is Westfork taxed, and does it report, as a public utility?  </w:t>
      </w:r>
      <w:r>
        <w:rPr>
          <w:b/>
          <w:u w:val="single"/>
        </w:rPr>
        <w:t>YES</w:t>
      </w:r>
    </w:p>
    <w:p>
      <w:pPr>
        <w:pStyle w:val="VEBodyText"/>
        <w:numPr>
          <w:ilvl w:val="2"/>
          <w:numId w:val="1"/>
        </w:numPr>
        <w:rPr/>
      </w:pPr>
      <w:r>
        <w:rPr/>
        <w:t xml:space="preserve">Were West Fork property tax returns timely and properly filed?  Are copies available?  </w:t>
      </w:r>
      <w:r>
        <w:rPr>
          <w:b/>
          <w:u w:val="single"/>
        </w:rPr>
        <w:t>YES – FOR THIS YEAR, 2000, A CWIP RETURN WAS FILED.</w:t>
      </w:r>
    </w:p>
    <w:p>
      <w:pPr>
        <w:pStyle w:val="VEBodyText"/>
        <w:numPr>
          <w:ilvl w:val="2"/>
          <w:numId w:val="1"/>
        </w:numPr>
        <w:rPr/>
      </w:pPr>
      <w:r>
        <w:rPr/>
        <w:t xml:space="preserve">What were property tax exemptions and deductions (e.g., property tax abatement deductions) and were they timely claimed and properly computed?  </w:t>
      </w:r>
      <w:r>
        <w:rPr>
          <w:b/>
          <w:u w:val="single"/>
        </w:rPr>
        <w:t>THESE ARE</w:t>
      </w:r>
      <w:r>
        <w:rPr/>
        <w:t xml:space="preserve"> </w:t>
      </w:r>
      <w:r>
        <w:rPr>
          <w:b/>
          <w:u w:val="single"/>
        </w:rPr>
        <w:t>NOT APPLICABLE FOR THE 2000 FILING.  FIRST YEAR FOR THAT WILL BE THE 2001 RETURN</w:t>
      </w:r>
    </w:p>
    <w:p>
      <w:pPr>
        <w:pStyle w:val="VEBodyText"/>
        <w:numPr>
          <w:ilvl w:val="2"/>
          <w:numId w:val="1"/>
        </w:numPr>
        <w:rPr/>
      </w:pPr>
      <w:r>
        <w:rPr/>
        <w:t xml:space="preserve">In connection with property taxes, was the first year public utility acquisition adjustment claimed and, if so, how has this acquisition adjustment been treated for abatement deduction computation purposes?  </w:t>
      </w:r>
      <w:r>
        <w:rPr>
          <w:b/>
          <w:u w:val="single"/>
        </w:rPr>
        <w:t>FIRST YEAR FOR THIS ADJUSTMENT TO BE MADE IS 2001.  WHEN DONE IT IS AN ITEGRAL PART OF THE ABATEMENT DEDUCTION COMPUTATION.</w:t>
      </w:r>
    </w:p>
    <w:p>
      <w:pPr>
        <w:pStyle w:val="VEBodyText"/>
        <w:numPr>
          <w:ilvl w:val="2"/>
          <w:numId w:val="1"/>
        </w:numPr>
        <w:rPr/>
      </w:pPr>
      <w:r>
        <w:rPr/>
        <w:t xml:space="preserve">What depreciation schedule has Westfork used for the plant in computing federal income tax and is the same schedule used to compute Indiana property taxes? </w:t>
      </w:r>
      <w:r>
        <w:rPr>
          <w:b/>
          <w:u w:val="single"/>
        </w:rPr>
        <w:t>WHATEVER FEDERAL DEPRECIATION IS USED THE SAME DEPRECIATION WILL BE USED FOR PROPERTY TAX PURPOSES.</w:t>
      </w:r>
    </w:p>
    <w:p>
      <w:pPr>
        <w:pStyle w:val="VEBodyText"/>
        <w:numPr>
          <w:ilvl w:val="2"/>
          <w:numId w:val="1"/>
        </w:numPr>
        <w:rPr/>
      </w:pPr>
      <w:r>
        <w:rPr/>
        <w:t xml:space="preserve">Has Westfork received any notice of assessment for property tax purposes at the facility?  </w:t>
      </w:r>
      <w:r>
        <w:rPr>
          <w:b/>
          <w:u w:val="single"/>
        </w:rPr>
        <w:t>YES</w:t>
      </w:r>
      <w:r>
        <w:rPr/>
        <w:t xml:space="preserve">  Are copies available?  </w:t>
      </w:r>
      <w:r>
        <w:rPr>
          <w:b/>
          <w:u w:val="single"/>
        </w:rPr>
        <w:t>YES</w:t>
      </w:r>
    </w:p>
    <w:p>
      <w:pPr>
        <w:pStyle w:val="VEBodyText"/>
        <w:numPr>
          <w:ilvl w:val="2"/>
          <w:numId w:val="1"/>
        </w:numPr>
        <w:rPr/>
      </w:pPr>
      <w:r>
        <w:rPr/>
        <w:t xml:space="preserve">Were estimates made of costs, assessed values, employees, and salaries on West Fork’s Statement of Benefits achieved (in connection with the property tax abatement applied for), and will they continue to be maintained?  </w:t>
      </w:r>
      <w:r>
        <w:rPr>
          <w:b/>
          <w:u w:val="single"/>
        </w:rPr>
        <w:t>YES</w:t>
      </w:r>
      <w:r>
        <w:rPr/>
        <w:t xml:space="preserve">  What were the final costs, assessed values, employment levels, and salary levels achieved? </w:t>
      </w:r>
      <w:r>
        <w:rPr>
          <w:b/>
          <w:u w:val="single"/>
        </w:rPr>
        <w:t>TAXABLE COSTS WERE $129,145,451, CURRENT NUMBER OF EMPLOYEES ARE 12, SALARIES $1,034,617.</w:t>
      </w:r>
    </w:p>
    <w:p>
      <w:pPr>
        <w:pStyle w:val="VEBodyText"/>
        <w:numPr>
          <w:ilvl w:val="2"/>
          <w:numId w:val="1"/>
        </w:numPr>
        <w:rPr/>
      </w:pPr>
      <w:r>
        <w:rPr/>
        <w:t xml:space="preserve">Was the Statement of Benefits filled-in, signed, and dated on the back by the appropriate local Knox County officials?  </w:t>
      </w:r>
      <w:r>
        <w:rPr>
          <w:b/>
          <w:u w:val="single"/>
        </w:rPr>
        <w:t>YES</w:t>
      </w:r>
      <w:r>
        <w:rPr/>
        <w:t xml:space="preserve">  May we have a complete copy?  </w:t>
      </w:r>
      <w:r>
        <w:rPr>
          <w:b/>
          <w:u w:val="single"/>
        </w:rPr>
        <w:t>YES</w:t>
      </w:r>
    </w:p>
    <w:p>
      <w:pPr>
        <w:pStyle w:val="VEBodyText"/>
        <w:numPr>
          <w:ilvl w:val="2"/>
          <w:numId w:val="1"/>
        </w:numPr>
        <w:rPr/>
      </w:pPr>
      <w:r>
        <w:rPr/>
        <w:t xml:space="preserve">Why were a number of blanks not filled in on the declaratory and confirmatory economic revitalization area designation resolutions regarding tax rates and savings?  </w:t>
      </w:r>
      <w:r>
        <w:rPr>
          <w:b/>
          <w:u w:val="single"/>
        </w:rPr>
        <w:t>WE HAVE NO IDEA – THAT DECISION WAS MADE BY OUTSIDE COUNSEL AND THE DEVELOPER OF THE PROJECT AT THE TIME.  NEITHER OF THESE INDIVIDUALS ARE CURRENTLY EMPLOYED BY ENA.</w:t>
      </w:r>
    </w:p>
    <w:p>
      <w:pPr>
        <w:pStyle w:val="VEBodyText"/>
        <w:numPr>
          <w:ilvl w:val="2"/>
          <w:numId w:val="1"/>
        </w:numPr>
        <w:rPr/>
      </w:pPr>
      <w:r>
        <w:rPr/>
        <w:t xml:space="preserve">With respect to the references to zoning and compliance with comprehensive plan in the abatement resolutions, has Westfork complied with these requirements and is it now in compliance?  </w:t>
      </w:r>
      <w:r>
        <w:rPr>
          <w:b/>
          <w:u w:val="single"/>
        </w:rPr>
        <w:t>TO OUR KNOWLEDGE WE HAVE.</w:t>
      </w:r>
    </w:p>
    <w:p>
      <w:pPr>
        <w:pStyle w:val="VEBodyText"/>
        <w:numPr>
          <w:ilvl w:val="2"/>
          <w:numId w:val="1"/>
        </w:numPr>
        <w:rPr/>
      </w:pPr>
      <w:r>
        <w:rPr/>
        <w:t xml:space="preserve">Did Westfork take the position in its application for property tax abatement that all of West Fork’s tangible personal property comprising its electrical generating facility was subject to abatement?  </w:t>
      </w:r>
      <w:r>
        <w:rPr>
          <w:b/>
          <w:u w:val="single"/>
        </w:rPr>
        <w:t>YES</w:t>
      </w:r>
      <w:r>
        <w:rPr/>
        <w:t xml:space="preserve">  If so, has that position been approved by the State Tax Board?  </w:t>
      </w:r>
      <w:r>
        <w:rPr>
          <w:b/>
          <w:u w:val="single"/>
        </w:rPr>
        <w:t>YES</w:t>
      </w:r>
    </w:p>
    <w:p>
      <w:pPr>
        <w:pStyle w:val="VEBodyText"/>
        <w:numPr>
          <w:ilvl w:val="2"/>
          <w:numId w:val="1"/>
        </w:numPr>
        <w:rPr/>
      </w:pPr>
      <w:r>
        <w:rPr/>
        <w:t xml:space="preserve">Why were abatement deduction applications filed on June 7, 1999, before the plant was constructed? </w:t>
      </w:r>
      <w:r>
        <w:rPr>
          <w:b/>
          <w:u w:val="single"/>
        </w:rPr>
        <w:t>WE HAVE NO IDEA – THAT DECISION WAS MADE BY OUTSIDE COUNSEL AND THE DEVELOPER OF THE PROJECT AT THE TIME.  NEITHER OF THESE INDIVIDUALS ARE CURRENTLY EMPLOYED BY ENA</w:t>
      </w:r>
    </w:p>
    <w:p>
      <w:pPr>
        <w:pStyle w:val="VEBodyText"/>
        <w:numPr>
          <w:ilvl w:val="2"/>
          <w:numId w:val="1"/>
        </w:numPr>
        <w:rPr/>
      </w:pPr>
      <w:r>
        <w:rPr/>
        <w:t xml:space="preserve">Have abatement deduction applications been timely and properly filed after the installation of the new manufacturing equipment and assessment of real estate improvements?  Have they been approved?  What deduction amounts were reported and approved?  May we have copies of the deduction applications, any notices from the State Tax Board and/or local assessing officials regarding these applications and copies of all tax bills issued with respect to the plant?  </w:t>
      </w:r>
      <w:r>
        <w:rPr>
          <w:b/>
          <w:u w:val="single"/>
        </w:rPr>
        <w:t xml:space="preserve">THE FIRST YEAR FOR FILING THESE WILL BE FOR THE 2001 ASSESSMENT.  HOWEVER , AT THE REQUEST OF COUNSEL WE FILED FORM CF-1 (COMPLIANCE WITH STATEMENT OF BENEFITS) EARLY.  </w:t>
      </w:r>
    </w:p>
    <w:p>
      <w:pPr>
        <w:pStyle w:val="VEBodyText"/>
        <w:numPr>
          <w:ilvl w:val="2"/>
          <w:numId w:val="1"/>
        </w:numPr>
        <w:rPr/>
      </w:pPr>
      <w:r>
        <w:rPr/>
        <w:t xml:space="preserve">Were any rulings sought and/or received from any Indiana taxing authority in connection with West Fork or the Wheat field plant?  If so, may we have copies?  </w:t>
      </w:r>
      <w:r>
        <w:rPr>
          <w:b/>
          <w:u w:val="single"/>
        </w:rPr>
        <w:t>FROM A PROPERTY TAX PERSPECTIVE, NONE WERE SOUGHT.</w:t>
      </w:r>
    </w:p>
    <w:p>
      <w:pPr>
        <w:pStyle w:val="VEBodyText"/>
        <w:rPr/>
      </w:pPr>
      <w:r>
        <w:rPr/>
      </w:r>
    </w:p>
    <w:p>
      <w:pPr>
        <w:pStyle w:val="VEBodyText"/>
        <w:ind w:start="720" w:end="0"/>
        <w:rPr/>
      </w:pPr>
      <w:r>
        <w:rPr/>
      </w:r>
    </w:p>
    <w:p>
      <w:pPr>
        <w:pStyle w:val="VEBodyText"/>
        <w:jc w:val="center"/>
        <w:rPr>
          <w:b/>
          <w:u w:val="single"/>
        </w:rPr>
      </w:pPr>
      <w:r>
        <w:rPr>
          <w:b/>
          <w:u w:val="single"/>
        </w:rPr>
        <w:t xml:space="preserve">GLEASON </w:t>
      </w:r>
    </w:p>
    <w:p>
      <w:pPr>
        <w:pStyle w:val="VEBodyText"/>
        <w:numPr>
          <w:ilvl w:val="2"/>
          <w:numId w:val="1"/>
        </w:numPr>
        <w:rPr/>
      </w:pPr>
      <w:r>
        <w:rPr/>
        <w:t xml:space="preserve">Has the October payment under the PILOT program ($174,460.00) been paid in full?  </w:t>
      </w:r>
      <w:r>
        <w:rPr>
          <w:b/>
          <w:u w:val="single"/>
        </w:rPr>
        <w:t>NO, IT DOES NOT HAVE TO BE PAID UNTIL 12-31-00 AND THE PAYMENT WILL BE MADE SOMETIME DURING THE MONTH OF DECEMBER.</w:t>
      </w:r>
    </w:p>
    <w:p>
      <w:pPr>
        <w:pStyle w:val="VEBodyText"/>
        <w:numPr>
          <w:ilvl w:val="2"/>
          <w:numId w:val="1"/>
        </w:numPr>
        <w:rPr/>
      </w:pPr>
      <w:r>
        <w:rPr/>
        <w:t xml:space="preserve">Is Enron aware of the assessment and/or payment of rollback taxes for the fee simple estate owned by IDBWC?  The Option Agreement is silent on the issue of rollback taxes, are there are any other written agreements which obligate the Gleason to pay rollback taxes?  </w:t>
      </w:r>
      <w:r>
        <w:rPr>
          <w:b/>
          <w:u w:val="single"/>
        </w:rPr>
        <w:t>THE IDBWC IS A TAX EXEMPT ENTITY.  NO ROLLBACK TAXES WILL ATTACH.</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bullet"/>
      <w:lvlText w:val=""/>
      <w:lvlJc w:val="start"/>
      <w:pPr>
        <w:tabs>
          <w:tab w:val="num" w:pos="1440"/>
        </w:tabs>
        <w:ind w:start="1440" w:hanging="720"/>
      </w:pPr>
      <w:rPr>
        <w:rFonts w:ascii="Symbol" w:hAnsi="Symbol" w:cs="Symbol" w:hint="default"/>
      </w:rPr>
    </w:lvl>
  </w:abstractNum>
  <w:abstractNum w:abstractNumId="7">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5z0">
    <w:name w:val="WW8Num35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4z0">
    <w:name w:val="WW8Num44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PageNumber">
    <w:name w:val="page number"/>
    <w:basedOn w:val="DefaultParagraphFont"/>
    <w:rPr/>
  </w:style>
  <w:style w:type="character" w:styleId="VEUnderlineWords">
    <w:name w:val="VE Underline Words"/>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2"/>
      </w:numPr>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Normal"/>
    <w:qFormat/>
    <w:pPr>
      <w:spacing w:before="0" w:after="240"/>
      <w:ind w:firstLine="720" w:start="0" w:end="0"/>
    </w:pPr>
    <w:rPr/>
  </w:style>
  <w:style w:type="paragraph" w:styleId="VEBodyText2">
    <w:name w:val="VE Body Text 2"/>
    <w:basedOn w:val="VENormal"/>
    <w:next w:val="Normal"/>
    <w:qFormat/>
    <w:pPr>
      <w:spacing w:before="0" w:after="240"/>
      <w:ind w:firstLine="1440" w:start="0" w:end="0"/>
    </w:pPr>
    <w:rPr/>
  </w:style>
  <w:style w:type="paragraph" w:styleId="VEBodyText3">
    <w:name w:val="VE Body Text 3"/>
    <w:basedOn w:val="VENormal"/>
    <w:next w:val="Normal"/>
    <w:qFormat/>
    <w:pPr>
      <w:spacing w:before="0" w:after="240"/>
      <w:ind w:firstLine="2160" w:start="0" w:end="0"/>
    </w:pPr>
    <w:rPr/>
  </w:style>
  <w:style w:type="paragraph" w:styleId="VEBodyText4">
    <w:name w:val="VE Body Text 4"/>
    <w:basedOn w:val="VENormal"/>
    <w:next w:val="Normal"/>
    <w:qFormat/>
    <w:pPr>
      <w:spacing w:before="0" w:after="240"/>
      <w:ind w:firstLine="2880" w:start="0" w:end="0"/>
    </w:pPr>
    <w:rPr/>
  </w:style>
  <w:style w:type="paragraph" w:styleId="VEBodyText5">
    <w:name w:val="VE Body Text 5"/>
    <w:basedOn w:val="VENormal"/>
    <w:next w:val="Normal"/>
    <w:qFormat/>
    <w:pPr/>
    <w:rPr/>
  </w:style>
  <w:style w:type="paragraph" w:styleId="VEBodyText6">
    <w:name w:val="VE Body Text 6"/>
    <w:basedOn w:val="VENormal"/>
    <w:next w:val="Normal"/>
    <w:qFormat/>
    <w:pPr/>
    <w:rPr/>
  </w:style>
  <w:style w:type="paragraph" w:styleId="VEBodyText7">
    <w:name w:val="VE Body Text 7"/>
    <w:basedOn w:val="VENormal"/>
    <w:next w:val="Normal"/>
    <w:qFormat/>
    <w:pPr/>
    <w:rPr/>
  </w:style>
  <w:style w:type="paragraph" w:styleId="VEBodyText8">
    <w:name w:val="VE Body Text 8"/>
    <w:basedOn w:val="VENormal"/>
    <w:next w:val="Normal"/>
    <w:qFormat/>
    <w:pPr/>
    <w:rPr/>
  </w:style>
  <w:style w:type="paragraph" w:styleId="VEBodyText9">
    <w:name w:val="VE Body Text 9"/>
    <w:basedOn w:val="VENormal"/>
    <w:next w:val="Normal"/>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rPr/>
  </w:style>
  <w:style w:type="paragraph" w:styleId="VEBulletList">
    <w:name w:val="VE Bullet List"/>
    <w:basedOn w:val="VENormal"/>
    <w:qFormat/>
    <w:pPr>
      <w:numPr>
        <w:ilvl w:val="0"/>
        <w:numId w:val="6"/>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7"/>
      </w:numPr>
      <w:spacing w:before="0" w:after="240"/>
      <w:jc w:val="center"/>
      <w:outlineLvl w:val="0"/>
    </w:pPr>
    <w:rPr>
      <w:b/>
      <w:bCs/>
    </w:rPr>
  </w:style>
  <w:style w:type="paragraph" w:styleId="VENumbered2">
    <w:name w:val="VE Numbered 2"/>
    <w:basedOn w:val="VENormal"/>
    <w:next w:val="VEBodyText2"/>
    <w:qFormat/>
    <w:pPr>
      <w:numPr>
        <w:ilvl w:val="0"/>
        <w:numId w:val="7"/>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7"/>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7"/>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7"/>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2000-10-30T13:47:00Z</dcterms:created>
  <dc:creator>VE</dc:creator>
  <dc:description/>
  <dc:language>en-CA</dc:language>
  <cp:lastModifiedBy>Enron Property Tax</cp:lastModifiedBy>
  <cp:lastPrinted>2000-10-30T09:49:00Z</cp:lastPrinted>
  <dcterms:modified xsi:type="dcterms:W3CDTF">2000-10-30T13:47:00Z</dcterms:modified>
  <cp:revision>2</cp:revision>
  <dc:subject/>
  <dc:title>Due Diligence Questions to be Posed to Enron</dc:title>
</cp:coreProperties>
</file>