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160" w:leader="none"/>
        </w:tabs>
        <w:ind w:firstLine="720" w:start="2160" w:end="0"/>
        <w:rPr>
          <w:rFonts w:ascii="Galliard" w:hAnsi="Galliard" w:cs="Galliard"/>
          <w:b/>
          <w:sz w:val="24"/>
          <w:lang w:eastAsia="en-US"/>
        </w:rPr>
      </w:pPr>
      <w:r>
        <w:rPr>
          <w:rFonts w:cs="Galliard" w:ascii="Galliard" w:hAnsi="Galliard"/>
          <w:b/>
          <w:sz w:val="24"/>
          <w:lang w:eastAsia="en-US"/>
        </w:rPr>
        <w:t>UNITED STATES OF AMERICA</w:t>
      </w:r>
    </w:p>
    <w:p>
      <w:pPr>
        <w:pStyle w:val="Normal"/>
        <w:tabs>
          <w:tab w:val="clear" w:pos="720"/>
          <w:tab w:val="left" w:pos="0" w:leader="none"/>
        </w:tabs>
        <w:jc w:val="center"/>
        <w:rPr>
          <w:rFonts w:ascii="Galliard" w:hAnsi="Galliard" w:cs="Galliard"/>
          <w:b/>
          <w:sz w:val="24"/>
          <w:lang w:eastAsia="en-US"/>
        </w:rPr>
      </w:pPr>
      <w:r>
        <w:rPr>
          <w:rFonts w:cs="Galliard" w:ascii="Galliard" w:hAnsi="Galliard"/>
          <w:b/>
          <w:sz w:val="24"/>
          <w:lang w:eastAsia="en-US"/>
        </w:rPr>
        <w:t xml:space="preserve">BEFORE THE </w:t>
      </w:r>
    </w:p>
    <w:p>
      <w:pPr>
        <w:pStyle w:val="Normal"/>
        <w:tabs>
          <w:tab w:val="clear" w:pos="720"/>
          <w:tab w:val="left" w:pos="0" w:leader="none"/>
        </w:tabs>
        <w:jc w:val="center"/>
        <w:rPr>
          <w:rFonts w:ascii="Galliard" w:hAnsi="Galliard" w:cs="Galliard"/>
          <w:b/>
          <w:sz w:val="24"/>
          <w:lang w:eastAsia="en-US"/>
        </w:rPr>
      </w:pPr>
      <w:r>
        <w:rPr>
          <w:rFonts w:cs="Galliard" w:ascii="Galliard" w:hAnsi="Galliard"/>
          <w:b/>
          <w:sz w:val="24"/>
          <w:lang w:eastAsia="en-US"/>
        </w:rPr>
        <w:t>FEDERAL ENERGY REGULATORY COMMISSION</w:t>
      </w:r>
    </w:p>
    <w:p>
      <w:pPr>
        <w:pStyle w:val="Normal"/>
        <w:tabs>
          <w:tab w:val="clear" w:pos="720"/>
          <w:tab w:val="left" w:pos="0" w:leader="none"/>
        </w:tabs>
        <w:jc w:val="center"/>
        <w:rPr>
          <w:rFonts w:ascii="Galliard" w:hAnsi="Galliard" w:cs="Galliard"/>
          <w:b/>
          <w:sz w:val="24"/>
          <w:lang w:eastAsia="en-US"/>
        </w:rPr>
      </w:pPr>
      <w:r>
        <w:rPr>
          <w:rFonts w:cs="Galliard" w:ascii="Galliard" w:hAnsi="Galliard"/>
          <w:b/>
          <w:sz w:val="24"/>
          <w:lang w:eastAsia="en-US"/>
        </w:rPr>
      </w:r>
    </w:p>
    <w:p>
      <w:pPr>
        <w:pStyle w:val="Normal"/>
        <w:tabs>
          <w:tab w:val="clear" w:pos="720"/>
          <w:tab w:val="left" w:pos="0" w:leader="none"/>
        </w:tabs>
        <w:jc w:val="center"/>
        <w:rPr>
          <w:rFonts w:ascii="Galliard" w:hAnsi="Galliard" w:cs="Galliard"/>
          <w:b/>
          <w:sz w:val="24"/>
          <w:lang w:eastAsia="en-US"/>
        </w:rPr>
      </w:pPr>
      <w:r>
        <w:rPr>
          <w:rFonts w:cs="Galliard" w:ascii="Galliard" w:hAnsi="Galliard"/>
          <w:b/>
          <w:sz w:val="24"/>
          <w:lang w:eastAsia="en-US"/>
        </w:rPr>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San Diego Gas &amp; Electric Company</w:t>
        <w:tab/>
        <w:tab/>
        <w:t>)</w:t>
        <w:tab/>
        <w:t>Docket No. EL00-95-000</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v.</w:t>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 xml:space="preserve">Sellers of Energy and Ancillary Services </w:t>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Into Markets Operated by the California</w:t>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 xml:space="preserve">Independent System Operator and the </w:t>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California Power Exchange</w:t>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 xml:space="preserve">Respondents.  </w:t>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Investigation of Practices of the California</w:t>
        <w:tab/>
        <w:t>)</w:t>
      </w:r>
    </w:p>
    <w:p>
      <w:pPr>
        <w:pStyle w:val="Normal"/>
        <w:tabs>
          <w:tab w:val="clear" w:pos="720"/>
          <w:tab w:val="left" w:pos="0" w:leader="none"/>
        </w:tabs>
        <w:rPr>
          <w:rFonts w:ascii="Galliard" w:hAnsi="Galliard" w:cs="Galliard"/>
          <w:b/>
          <w:sz w:val="24"/>
          <w:lang w:eastAsia="en-US"/>
        </w:rPr>
      </w:pPr>
      <w:r>
        <w:rPr>
          <w:rFonts w:eastAsia="Galliard" w:cs="Galliard" w:ascii="Galliard" w:hAnsi="Galliard"/>
          <w:b/>
          <w:sz w:val="24"/>
          <w:lang w:eastAsia="en-US"/>
        </w:rPr>
        <w:t xml:space="preserve">   </w:t>
      </w:r>
      <w:r>
        <w:rPr>
          <w:rFonts w:cs="Galliard" w:ascii="Galliard" w:hAnsi="Galliard"/>
          <w:b/>
          <w:sz w:val="24"/>
          <w:lang w:eastAsia="en-US"/>
        </w:rPr>
        <w:t>Independent System Operators and the</w:t>
        <w:tab/>
        <w:t>)</w:t>
        <w:tab/>
        <w:br/>
        <w:t xml:space="preserve">   California Power Exchange</w:t>
        <w:tab/>
        <w:tab/>
        <w:tab/>
        <w:t>)</w:t>
        <w:tab/>
        <w:t>Docket No. EL00-98-000</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Public Meeting in San Diego, California</w:t>
        <w:tab/>
        <w:t>)</w:t>
        <w:tab/>
        <w:t>Docket No. EL00-107-000</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California Power Exchange Corporation</w:t>
        <w:tab/>
        <w:t>)</w:t>
        <w:tab/>
        <w:t>Docket No. ER00-3461-000</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ab/>
        <w:tab/>
        <w:tab/>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t>California Independent System Operator</w:t>
        <w:tab/>
        <w:t>)</w:t>
        <w:tab/>
        <w:t>Docket No. ER00-3673-000</w:t>
      </w:r>
    </w:p>
    <w:p>
      <w:pPr>
        <w:pStyle w:val="Normal"/>
        <w:tabs>
          <w:tab w:val="clear" w:pos="720"/>
          <w:tab w:val="left" w:pos="0" w:leader="none"/>
        </w:tabs>
        <w:rPr>
          <w:rFonts w:ascii="Galliard" w:hAnsi="Galliard" w:cs="Galliard"/>
          <w:b/>
          <w:sz w:val="24"/>
          <w:lang w:eastAsia="en-US"/>
        </w:rPr>
      </w:pPr>
      <w:r>
        <w:rPr>
          <w:rFonts w:eastAsia="Galliard" w:cs="Galliard" w:ascii="Galliard" w:hAnsi="Galliard"/>
          <w:b/>
          <w:sz w:val="24"/>
          <w:lang w:eastAsia="en-US"/>
        </w:rPr>
        <w:t xml:space="preserve">   </w:t>
      </w:r>
      <w:r>
        <w:rPr>
          <w:rFonts w:cs="Galliard" w:ascii="Galliard" w:hAnsi="Galliard"/>
          <w:b/>
          <w:sz w:val="24"/>
          <w:lang w:eastAsia="en-US"/>
        </w:rPr>
        <w:t>Corporation</w:t>
        <w:tab/>
        <w:tab/>
        <w:tab/>
        <w:tab/>
        <w:tab/>
        <w:t>)</w:t>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r>
    </w:p>
    <w:p>
      <w:pPr>
        <w:pStyle w:val="Normal"/>
        <w:tabs>
          <w:tab w:val="clear" w:pos="720"/>
          <w:tab w:val="left" w:pos="0" w:leader="none"/>
        </w:tabs>
        <w:rPr>
          <w:rFonts w:ascii="Galliard" w:hAnsi="Galliard" w:cs="Galliard"/>
          <w:b/>
          <w:sz w:val="24"/>
          <w:lang w:eastAsia="en-US"/>
        </w:rPr>
      </w:pPr>
      <w:r>
        <w:rPr>
          <w:rFonts w:cs="Galliard" w:ascii="Galliard" w:hAnsi="Galliard"/>
          <w:b/>
          <w:sz w:val="24"/>
          <w:lang w:eastAsia="en-US"/>
        </w:rPr>
      </w:r>
    </w:p>
    <w:p>
      <w:pPr>
        <w:pStyle w:val="Normal"/>
        <w:tabs>
          <w:tab w:val="clear" w:pos="720"/>
          <w:tab w:val="left" w:pos="0" w:leader="none"/>
        </w:tabs>
        <w:spacing w:before="260" w:after="0"/>
        <w:jc w:val="center"/>
        <w:rPr>
          <w:rFonts w:ascii="Galliard" w:hAnsi="Galliard" w:cs="Galliard"/>
          <w:b/>
          <w:sz w:val="24"/>
          <w:lang w:eastAsia="en-US"/>
        </w:rPr>
      </w:pPr>
      <w:r>
        <w:rPr>
          <w:rFonts w:cs="Galliard" w:ascii="Galliard" w:hAnsi="Galliard"/>
          <w:b/>
          <w:sz w:val="24"/>
          <w:lang w:eastAsia="en-US"/>
        </w:rPr>
        <w:t xml:space="preserve">COMMENTS OF DUKE ENERGY NORTH AMERICA, LLC, </w:t>
      </w:r>
    </w:p>
    <w:p>
      <w:pPr>
        <w:pStyle w:val="Normal"/>
        <w:tabs>
          <w:tab w:val="clear" w:pos="720"/>
          <w:tab w:val="left" w:pos="0" w:leader="none"/>
        </w:tabs>
        <w:jc w:val="center"/>
        <w:rPr/>
      </w:pPr>
      <w:r>
        <w:rPr>
          <w:rFonts w:cs="Galliard" w:ascii="Galliard" w:hAnsi="Galliard"/>
          <w:b/>
          <w:lang w:eastAsia="en-US"/>
        </w:rPr>
        <w:drawing>
          <wp:inline distT="0" distB="0" distL="0" distR="0">
            <wp:extent cx="52070" cy="520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94" t="-694" r="-694" b="-694"/>
                    <a:stretch>
                      <a:fillRect/>
                    </a:stretch>
                  </pic:blipFill>
                  <pic:spPr bwMode="auto">
                    <a:xfrm>
                      <a:off x="0" y="0"/>
                      <a:ext cx="52070" cy="52070"/>
                    </a:xfrm>
                    <a:prstGeom prst="rect">
                      <a:avLst/>
                    </a:prstGeom>
                    <a:noFill/>
                  </pic:spPr>
                </pic:pic>
              </a:graphicData>
            </a:graphic>
          </wp:inline>
        </w:drawing>
      </w:r>
      <w:r>
        <w:rPr>
          <w:rFonts w:cs="Galliard" w:ascii="Galliard" w:hAnsi="Galliard"/>
          <w:b/>
          <w:sz w:val="24"/>
          <w:lang w:eastAsia="en-US"/>
        </w:rPr>
        <w:t xml:space="preserve">DUKE ENERGY TRADING AND MARKETING, LLC, AND </w:t>
      </w:r>
    </w:p>
    <w:p>
      <w:pPr>
        <w:pStyle w:val="Normal"/>
        <w:tabs>
          <w:tab w:val="clear" w:pos="720"/>
          <w:tab w:val="left" w:pos="0" w:leader="none"/>
        </w:tabs>
        <w:jc w:val="center"/>
        <w:rPr>
          <w:rFonts w:ascii="Galliard" w:hAnsi="Galliard" w:cs="Galliard"/>
          <w:b/>
          <w:sz w:val="24"/>
          <w:lang w:eastAsia="en-US"/>
        </w:rPr>
      </w:pPr>
      <w:r>
        <w:rPr>
          <w:rFonts w:cs="Galliard" w:ascii="Galliard" w:hAnsi="Galliard"/>
          <w:b/>
          <w:sz w:val="24"/>
          <w:lang w:eastAsia="en-US"/>
        </w:rPr>
        <w:t>DUKE ENERGY MERCHANTS, LLC</w:t>
      </w:r>
    </w:p>
    <w:p>
      <w:pPr>
        <w:pStyle w:val="Normal"/>
        <w:spacing w:lineRule="auto" w:line="480"/>
        <w:rPr/>
      </w:pPr>
      <w:r>
        <w:rPr>
          <w:rFonts w:cs="Galliard" w:ascii="Galliard" w:hAnsi="Galliard"/>
          <w:sz w:val="24"/>
          <w:lang w:eastAsia="en-US"/>
        </w:rPr>
        <w:t>Duke Energy North America, LLC, Duke Energy Trading and Marketing, LLC, and Duke Energy Merchants, LLC (collectively, “Duke Energy”) hereby file comments on the Commission’s Order Proposing Remedies for California Wholesale Electric Markets, issued November 1, 2000 (“Proposed Order”),</w:t>
      </w:r>
      <w:r>
        <w:rPr>
          <w:rFonts w:cs="Galliard" w:ascii="Galliard" w:hAnsi="Galliard"/>
          <w:sz w:val="18"/>
          <w:vertAlign w:val="superscript"/>
          <w:lang w:eastAsia="en-US"/>
        </w:rPr>
        <w:t>1</w:t>
      </w:r>
      <w:r>
        <w:rPr>
          <w:rFonts w:cs="Galliard" w:ascii="Galliard" w:hAnsi="Galliard"/>
          <w:sz w:val="24"/>
          <w:lang w:eastAsia="en-US"/>
        </w:rPr>
        <w:t xml:space="preserve"> and on the accompanying Staff Report on Western Markets and the Causes of the Summer 2000 Price Abnormalities (“Staff Report”).</w:t>
      </w:r>
      <w:r>
        <w:rPr>
          <w:rFonts w:cs="Galliard" w:ascii="Galliard" w:hAnsi="Galliard"/>
          <w:sz w:val="18"/>
          <w:vertAlign w:val="superscript"/>
          <w:lang w:eastAsia="en-US"/>
        </w:rPr>
        <w:t>2</w:t>
      </w:r>
      <w:r>
        <w:rPr>
          <w:rFonts w:cs="Galliard" w:ascii="Galliard" w:hAnsi="Galliard"/>
          <w:sz w:val="24"/>
          <w:lang w:eastAsia="en-US"/>
        </w:rPr>
        <w:t xml:space="preserve">  </w:t>
      </w:r>
    </w:p>
    <w:p>
      <w:pPr>
        <w:pStyle w:val="Normal"/>
        <w:rPr/>
      </w:pPr>
      <w:r>
        <w:rPr>
          <w:sz w:val="24"/>
          <w:lang w:eastAsia="en-US"/>
        </w:rPr>
        <w:t>I.</w:t>
        <w:tab/>
      </w:r>
      <w:r>
        <w:rPr>
          <w:rFonts w:cs="Galliard" w:ascii="Galliard" w:hAnsi="Galliard"/>
          <w:b/>
          <w:sz w:val="24"/>
          <w:lang w:eastAsia="en-US"/>
        </w:rPr>
        <w:t>INTRODUCTION AND SUMMARY OF CONCLUSIONS</w:t>
      </w:r>
    </w:p>
    <w:p>
      <w:pPr>
        <w:pStyle w:val="Normal"/>
        <w:spacing w:lineRule="auto" w:line="480"/>
        <w:rPr>
          <w:rFonts w:ascii="Galliard" w:hAnsi="Galliard" w:cs="Galliard"/>
          <w:sz w:val="24"/>
          <w:lang w:eastAsia="en-US"/>
        </w:rPr>
      </w:pPr>
      <w:r>
        <w:rPr>
          <w:rFonts w:cs="Galliard" w:ascii="Galliard" w:hAnsi="Galliard"/>
          <w:sz w:val="24"/>
          <w:lang w:eastAsia="en-US"/>
        </w:rPr>
        <w:t xml:space="preserve">California’s wholesale and retail electricity markets experienced significant price increases and price volatility during the summer of 2000.  The Commission’s Staff Report fully explains the causes of these price increases, and the Commission’s Proposed Order sets forth important reforms that are intended to prevent recurrences.  Duke Energy applauds the Commission’s prompt actions, because it is in the interest of consumers and industry alike that competitive electricity markets flourish at both the wholesale and retail levels.  The Commission’s recognition of the primacy of competitive markets is especially important in the face of politicization and cries for a return to cost-based regulation.  </w:t>
      </w:r>
    </w:p>
    <w:p>
      <w:pPr>
        <w:pStyle w:val="Normal"/>
        <w:spacing w:lineRule="auto" w:line="480"/>
        <w:rPr>
          <w:rFonts w:ascii="Galliard" w:hAnsi="Galliard" w:cs="Galliard"/>
          <w:sz w:val="24"/>
          <w:lang w:eastAsia="en-US"/>
        </w:rPr>
      </w:pPr>
      <w:r>
        <w:rPr>
          <w:rFonts w:cs="Galliard" w:ascii="Galliard" w:hAnsi="Galliard"/>
          <w:sz w:val="24"/>
          <w:lang w:eastAsia="en-US"/>
        </w:rPr>
        <w:t xml:space="preserve">What California consumers need is a wholesale market that is conducive to attracting critically needed new capacity.  Markets with competitively determined prices are entirely consistent with — indeed, are a prerequisite for — attainment of the cheapest, cleanest, most efficient, and most reliable electric system.  Particularly during the transition years when substantial new capacity needs to be developed, it is imperative that electricity prices be set by market mechanisms, with suppliers operating pursuant to market-based rates, rather than by a command and control regulatory system that imposes cost-based second guessing of market prices.  </w:t>
      </w:r>
    </w:p>
    <w:p>
      <w:pPr>
        <w:pStyle w:val="Normal"/>
        <w:spacing w:lineRule="auto" w:line="480"/>
        <w:rPr/>
      </w:pPr>
      <w:r>
        <w:rPr>
          <w:rFonts w:cs="Galliard" w:ascii="Galliard" w:hAnsi="Galliard"/>
          <w:sz w:val="24"/>
          <w:lang w:eastAsia="en-US"/>
        </w:rPr>
        <w:t>During the spirited debates that have surrounded the Proposed Order and the Staff Report, some argue that there is a conflict between, and a need to assure a balancing of, competitive price levels for the benefit of consumers and the inducement of new investment.</w:t>
      </w:r>
      <w:r>
        <w:rPr>
          <w:rFonts w:cs="Galliard" w:ascii="Galliard" w:hAnsi="Galliard"/>
          <w:sz w:val="18"/>
          <w:vertAlign w:val="superscript"/>
          <w:lang w:eastAsia="en-US"/>
        </w:rPr>
        <w:t>3</w:t>
      </w:r>
      <w:r>
        <w:rPr>
          <w:rFonts w:cs="Galliard" w:ascii="Galliard" w:hAnsi="Galliard"/>
          <w:sz w:val="24"/>
          <w:lang w:eastAsia="en-US"/>
        </w:rPr>
        <w:t xml:space="preserve">  This is a false dichotomy.  As the Commission itself recognizes, “a well functioning competitive wholesale power market in California … is a fundamental part of the solution to the supply problems and price volatility in California.”</w:t>
      </w:r>
      <w:r>
        <w:rPr>
          <w:rFonts w:cs="Galliard" w:ascii="Galliard" w:hAnsi="Galliard"/>
          <w:sz w:val="18"/>
          <w:vertAlign w:val="superscript"/>
          <w:lang w:eastAsia="en-US"/>
        </w:rPr>
        <w:t>4</w:t>
      </w:r>
      <w:r>
        <w:rPr>
          <w:rFonts w:cs="Galliard" w:ascii="Galliard" w:hAnsi="Galliard"/>
          <w:sz w:val="24"/>
          <w:lang w:eastAsia="en-US"/>
        </w:rPr>
        <w:t xml:space="preserve">  There is not some level of “fair prices” that can be below the level of prices needed to attract critical new investment.  The power of competitive markets is that supply and demand forces, not regulatory cost-finding analyses, determine the economically efficient levels of prices and investment.  Competitively determined prices are the “least cost” prices that are compatible with incentives needed to attract new investment.  The Commission’s proposals will further enhance the competitiveness of the wholesale markets, thus pointing the way toward lower average prices, without blocking market signals that are critical to obtaining new private investment in generation.  </w:t>
      </w:r>
    </w:p>
    <w:p>
      <w:pPr>
        <w:pStyle w:val="Normal"/>
        <w:spacing w:lineRule="auto" w:line="480"/>
        <w:rPr>
          <w:rFonts w:ascii="Galliard" w:hAnsi="Galliard" w:cs="Galliard"/>
          <w:sz w:val="24"/>
          <w:lang w:eastAsia="en-US"/>
        </w:rPr>
      </w:pPr>
      <w:r>
        <w:rPr>
          <w:rFonts w:cs="Galliard" w:ascii="Galliard" w:hAnsi="Galliard"/>
          <w:sz w:val="24"/>
          <w:lang w:eastAsia="en-US"/>
        </w:rPr>
        <w:t xml:space="preserve">In today’s highly charged atmosphere, some parties are intent on rescinding the high levels of wholesale prices paid in certain hours during the summer months of 2000.  These parties seek refunds to San Diego area retail consumers of the wholesale power purchase costs that were passed through by San Diego Gas &amp; Electric Company (“SDG&amp;E”), and insist on capping prices so that, going forward, they can in no hours exceed levels that regulators would deem “just and reasonable.”  Some seem to be of the view that any wholesale prices paid in the summer of 2000 above levels that prevailed in the summers of 1998 and 1999, or above suppliers’ marginal operating costs, were per se unjust and unreasonable and should be refunded or otherwise equitably remediated.  This view is wrong, and is not borne out by the Commission’s Staff Report or Proposed Order.  </w:t>
      </w:r>
    </w:p>
    <w:p>
      <w:pPr>
        <w:pStyle w:val="Normal"/>
        <w:spacing w:lineRule="auto" w:line="480"/>
        <w:rPr/>
      </w:pPr>
      <w:r>
        <w:rPr>
          <w:rFonts w:cs="Galliard" w:ascii="Galliard" w:hAnsi="Galliard"/>
          <w:sz w:val="24"/>
          <w:lang w:eastAsia="en-US"/>
        </w:rPr>
        <w:t>The Staff Report convincingly concludes that the high prices and price volatility experienced during the summer of 2000 reflected the confluence of supply and demand conditions, which were exacerbated by certain flaws in the wholesale and retail market structure and rules: “the data clearly show that a general scarcity of power in the West and increased costs to produce power were factors causing these high [summer 2000] prices.”</w:t>
      </w:r>
      <w:r>
        <w:rPr>
          <w:rFonts w:cs="Galliard" w:ascii="Galliard" w:hAnsi="Galliard"/>
          <w:sz w:val="18"/>
          <w:vertAlign w:val="superscript"/>
          <w:lang w:eastAsia="en-US"/>
        </w:rPr>
        <w:t>5</w:t>
      </w:r>
      <w:r>
        <w:rPr>
          <w:rFonts w:cs="Galliard" w:ascii="Galliard" w:hAnsi="Galliard"/>
          <w:sz w:val="24"/>
          <w:lang w:eastAsia="en-US"/>
        </w:rPr>
        <w:t xml:space="preserve">  Moreover, the Staff Report amply supports the Commission’s conclusion in the Proposed Order that “this record does not support findings of specific exercises of market power.”</w:t>
      </w:r>
      <w:r>
        <w:rPr>
          <w:rFonts w:cs="Galliard" w:ascii="Galliard" w:hAnsi="Galliard"/>
          <w:sz w:val="18"/>
          <w:vertAlign w:val="superscript"/>
          <w:lang w:eastAsia="en-US"/>
        </w:rPr>
        <w:t>6</w:t>
      </w:r>
      <w:r>
        <w:rPr>
          <w:rFonts w:cs="Galliard" w:ascii="Galliard" w:hAnsi="Galliard"/>
          <w:sz w:val="24"/>
          <w:lang w:eastAsia="en-US"/>
        </w:rPr>
        <w:t xml:space="preserve">  Although the Proposed Order suggests that the flawed market structure, in conjunction with supply and demand imbalances “caused, and continue to have the potential to cause, unjust and unreasonable rates for short-term energy … under certain conditions,”</w:t>
      </w:r>
      <w:r>
        <w:rPr>
          <w:rFonts w:cs="Galliard" w:ascii="Galliard" w:hAnsi="Galliard"/>
          <w:sz w:val="18"/>
          <w:vertAlign w:val="superscript"/>
          <w:lang w:eastAsia="en-US"/>
        </w:rPr>
        <w:t>7</w:t>
      </w:r>
      <w:r>
        <w:rPr>
          <w:rFonts w:cs="Galliard" w:ascii="Galliard" w:hAnsi="Galliard"/>
          <w:sz w:val="24"/>
          <w:lang w:eastAsia="en-US"/>
        </w:rPr>
        <w:t xml:space="preserve"> the Commission did not, and should not now, find that the overall wholesale price levels experienced during the summer of 2000 were unjust and unreasonable. </w:t>
      </w:r>
    </w:p>
    <w:p>
      <w:pPr>
        <w:pStyle w:val="Normal"/>
        <w:spacing w:lineRule="auto" w:line="480"/>
        <w:rPr/>
      </w:pPr>
      <w:r>
        <w:rPr>
          <w:rFonts w:cs="Galliard" w:ascii="Galliard" w:hAnsi="Galliard"/>
          <w:sz w:val="24"/>
          <w:lang w:eastAsia="en-US"/>
        </w:rPr>
        <w:t>Given some of the shrill charges being hurled at suppliers and the politicized threats of protracted litigation, condemnation proceedings, and even repeal of AB 1890, it is of critical importance for the Commission, in its final order, to confirm that it has not found that the overall levels of summer 2000 prices were unjust and unreasonable.</w:t>
      </w:r>
      <w:r>
        <w:rPr>
          <w:rFonts w:cs="Galliard" w:ascii="Galliard" w:hAnsi="Galliard"/>
          <w:sz w:val="18"/>
          <w:vertAlign w:val="superscript"/>
          <w:lang w:eastAsia="en-US"/>
        </w:rPr>
        <w:t>8</w:t>
      </w:r>
      <w:r>
        <w:rPr>
          <w:rFonts w:cs="Galliard" w:ascii="Galliard" w:hAnsi="Galliard"/>
          <w:sz w:val="24"/>
          <w:lang w:eastAsia="en-US"/>
        </w:rPr>
        <w:t xml:space="preserve">   The Commission should emphasize that what it has found is evidence of wholesale and retail market design flaws that prevented SDG&amp;E from protecting its retail customers against price volatility and that provided no meaningful opportunities for those customers to respond by seeking lower priced alternatives.  The increase in prices borne by consumers in California this summer did not result from the wholesale market being uncompetitive.  The wholesale market worked as intended in factoring in the fluctuating supply and demand fundamentals.  The central flaw that was exposed this summer is that certain market participants — the load-serving utilities — were participating in the wholesale market with one hand tied behind their backs, as a result of misguided state-mandated structures, the absence of meaningful retail choice for consumers, and their own insufficient use of forward contracting and risk management mechanisms.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flawed wholesale and retail rules lead to the load-serving utilitie's risky practices of purchasing virtually all of their supplies at volatile spot market prices.  Because of these risky and unusual purchasing practices, the average purchase price paid by these load-serving utilities during the summer of 2000 was significantly higher than it would have been with a more diversified procurement strategy.  Thus, the utilities’ procurement strategies were unreasonable, but the underlying wholesale prices were not.  Because their risky procurement strategies were engendered by flawed market rules, the Commission made the requisite finding that the flawed wholesale market rules could be modified prospectively under Section 206 of the Federal Power Act.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Commission should reconfirm that it has no evidence that any improper exercise of market power caused the high prices during the summer of 2000.  The Commission should confirm that it has not pronounced a legal standard that would hold prices in excess of some pre-determined “competitive level” threshold as unjust and unreasonable.  The Commission should clarify that no assessment of the justness and reasonableness of this summer’s prices, or of future prices, should or could be based on a comparison of those prices either to prior periods’ prices or to generators’ marginal production costs.  Finally, the Commission should conclusively rule out any legal or factual basis for ordering refunds or rescission of wholesale market prices from the summer of 2000.  </w:t>
      </w:r>
    </w:p>
    <w:p>
      <w:pPr>
        <w:pStyle w:val="Normal"/>
        <w:spacing w:lineRule="auto" w:line="480"/>
        <w:rPr/>
      </w:pPr>
      <w:r>
        <w:rPr>
          <w:rFonts w:cs="Galliard" w:ascii="Galliard" w:hAnsi="Galliard"/>
          <w:sz w:val="24"/>
          <w:lang w:eastAsia="en-US"/>
        </w:rPr>
        <w:t xml:space="preserve">Duke Energy submits that these comments will demonstrate that, when viewing the summer 2000 price experience in a broader market context, the </w:t>
      </w:r>
      <w:r>
        <w:rPr>
          <w:rFonts w:cs="Galliard" w:ascii="Galliard" w:hAnsi="Galliard"/>
          <w:sz w:val="24"/>
          <w:u w:val="single"/>
          <w:lang w:eastAsia="en-US"/>
        </w:rPr>
        <w:t>wholesale</w:t>
      </w:r>
      <w:r>
        <w:rPr>
          <w:rFonts w:cs="Galliard" w:ascii="Galliard" w:hAnsi="Galliard"/>
          <w:sz w:val="24"/>
          <w:lang w:eastAsia="en-US"/>
        </w:rPr>
        <w:t xml:space="preserve"> markets were “workably competitive” and prices paid in California wholesale spot markets, on average, throughout the summer, were </w:t>
      </w:r>
      <w:r>
        <w:rPr>
          <w:rFonts w:cs="Galliard" w:ascii="Galliard" w:hAnsi="Galliard"/>
          <w:sz w:val="24"/>
          <w:u w:val="single"/>
          <w:lang w:eastAsia="en-US"/>
        </w:rPr>
        <w:t>not</w:t>
      </w:r>
      <w:r>
        <w:rPr>
          <w:rFonts w:cs="Galliard" w:ascii="Galliard" w:hAnsi="Galliard"/>
          <w:sz w:val="24"/>
          <w:lang w:eastAsia="en-US"/>
        </w:rPr>
        <w:t xml:space="preserve"> unjust and unreasonable.  Conversely, the record demonstrates that the retail market in California is not yet competitive, and, for that reason, San Diego area retail consumers have borne the brunt of price risk from the summer of 2000.  Thus, there are neither equitable reasons nor policy or legal reasons why the Commission should countenance litigation directed at reversing the economic outcome of literally millions of wholesale transactions in one of the most liquid wholesale energy markets in the United States.</w:t>
      </w:r>
      <w:r>
        <w:rPr>
          <w:rFonts w:cs="Galliard" w:ascii="Galliard" w:hAnsi="Galliard"/>
          <w:sz w:val="18"/>
          <w:vertAlign w:val="superscript"/>
          <w:lang w:eastAsia="en-US"/>
        </w:rPr>
        <w:t>9</w:t>
      </w:r>
      <w:r>
        <w:rPr>
          <w:rFonts w:cs="Galliard" w:ascii="Galliard" w:hAnsi="Galliard"/>
          <w:sz w:val="24"/>
          <w:lang w:eastAsia="en-US"/>
        </w:rPr>
        <w:t xml:space="preserve">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Commission quite properly focused its Proposed Order on moving forward and fixing the flaws in market structures and rules, in order to strengthen California’s competitive wholesale electricity market and to preclude a recurrence of retail consumers bearing the full brunt of wholesale price volatility.  Price volatility, which is an inherent feature of all wholesale markets, can be managed in electricity markets, if appropriate risk management tools are available to wholesale market participants.  Retail consumers can, and should, be substantially shielded from wholesale market volatility by appropriate risk management practices, by competition among load-serving entities, and by development of effective demand-side response measures.  The Commission’s proposed reforms are directed at achieving exactly such results.  </w:t>
      </w:r>
    </w:p>
    <w:p>
      <w:pPr>
        <w:pStyle w:val="Normal"/>
        <w:spacing w:lineRule="auto" w:line="480"/>
        <w:rPr/>
      </w:pPr>
      <w:r>
        <w:rPr>
          <w:rFonts w:cs="Galliard" w:ascii="Galliard" w:hAnsi="Galliard"/>
          <w:sz w:val="24"/>
          <w:lang w:eastAsia="en-US"/>
        </w:rPr>
        <w:t>The Staff Report and Proposed Order identify one overarching flaw in the wholesale market structure and market rules that contributes disproportionately to the overall impact of price volatility — load-serving entities’ near total dependence on spot markets and their failure to use forward contracting and other hedging mechanisms that allow market participants to shield themselves, and their retail customers, from price volatility.  In the past, reliance on spot markets has benefited load serving utilities.  Since the advent of the retail rate freeze, load-serving utilities have realized substantial margins and contributions to their stranded costs in previous summers when wholesale prices were well under capped retail prices.</w:t>
      </w:r>
      <w:r>
        <w:rPr>
          <w:rFonts w:cs="Galliard" w:ascii="Galliard" w:hAnsi="Galliard"/>
          <w:sz w:val="18"/>
          <w:vertAlign w:val="superscript"/>
          <w:lang w:eastAsia="en-US"/>
        </w:rPr>
        <w:t>10</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Obviously, events this past summer were not so favorable to the load-serving utilities.  Hemmed in by restrictive state rules, and reluctant to manage market risk aggressively, the load-serving utilities took no effective measures to manage billions of dollars in price risks associated with fluctuating supply and demand conditions.  Moreover, load-serving utilities exacerbated the impact of price volatility by leaving increased portions of their load unscheduled in the day-ahead and one-hour ahead markets, thereby forcing the ISO to rely far more heavily than intended on real-time purchases, from within and outside California.</w:t>
      </w:r>
      <w:r>
        <w:rPr>
          <w:rFonts w:cs="Galliard" w:ascii="Galliard" w:hAnsi="Galliard"/>
          <w:sz w:val="18"/>
          <w:vertAlign w:val="superscript"/>
          <w:lang w:eastAsia="en-US"/>
        </w:rPr>
        <w:t>11</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In light of load-serving entities’ inadequate responses to wholesale market price volatility, Duke Energy generally supports the Commission’s proposals directed at minimizing the impacts of spot market volatility and encouraging load-serving utilities to manage price risk through active participation in the forward market, not in the real-time market.</w:t>
      </w:r>
      <w:r>
        <w:rPr>
          <w:rFonts w:cs="Galliard" w:ascii="Galliard" w:hAnsi="Galliard"/>
          <w:sz w:val="18"/>
          <w:vertAlign w:val="superscript"/>
          <w:lang w:eastAsia="en-US"/>
        </w:rPr>
        <w:t>12</w:t>
      </w:r>
      <w:r>
        <w:rPr>
          <w:rFonts w:cs="Galliard" w:ascii="Galliard" w:hAnsi="Galliard"/>
          <w:sz w:val="24"/>
          <w:lang w:eastAsia="en-US"/>
        </w:rPr>
        <w:t xml:space="preserve"> Increased use of forward contracting offers a market-based solution to the problems that beset California this past summer.  Believing in the long-run success of competitive California electricity markets, Duke Energy is committed to building new generation in California.  Currently, Duke Energy owns 3,300 MWs of generation in California, and has plans to add an additional 1,500 MWs over the next 3-4 years at an investment of $1.5 billion.  Duke Energy recently broke ground on construction of a 1,060 MW combined cycle plant on an existing generating site, which should come on line in 2002.</w:t>
      </w:r>
      <w:r>
        <w:rPr>
          <w:rFonts w:cs="Galliard" w:ascii="Galliard" w:hAnsi="Galliard"/>
          <w:sz w:val="18"/>
          <w:vertAlign w:val="superscript"/>
          <w:lang w:eastAsia="en-US"/>
        </w:rPr>
        <w:t>13</w:t>
      </w:r>
      <w:r>
        <w:rPr>
          <w:rFonts w:cs="Galliard" w:ascii="Galliard" w:hAnsi="Galliard"/>
          <w:sz w:val="24"/>
          <w:lang w:eastAsia="en-US"/>
        </w:rPr>
        <w:t xml:space="preserve">  The success of Duke Energy’s new investments depends upon a stable regulatory climate that rewards risk management and allows suppliers to trade on the basis of their estimates of forward price curves.  </w:t>
      </w:r>
    </w:p>
    <w:p>
      <w:pPr>
        <w:pStyle w:val="Normal"/>
        <w:spacing w:lineRule="auto" w:line="480"/>
        <w:rPr/>
      </w:pPr>
      <w:r>
        <w:rPr>
          <w:rFonts w:cs="Galliard" w:ascii="Galliard" w:hAnsi="Galliard"/>
          <w:sz w:val="24"/>
          <w:lang w:eastAsia="en-US"/>
        </w:rPr>
        <w:t>In addition to Duke Energy’s commitments to investment in generation assets, Duke Energy intends to participate actively in forward contracting.  Indeed, Duke Energy believes that the existing, highly liquid, workably competitive wholesale electricity market in California and the West will support sweeping wholesale market offers designed to change radically risk management opportunities for load-serving entities.  Coincident with this submission, Duke Energy is announcing one such major initiative.  Duke Energy is prepared, based on current market prices, to offer to supply energy to SDG&amp;E to meet the full native load requirements of SDG&amp;E for a period of 5 years, beginning January 1, 2000, at a fixed price of $60.00/MWh, escalated at 3% per year.</w:t>
      </w:r>
      <w:r>
        <w:rPr>
          <w:rFonts w:cs="Galliard" w:ascii="Galliard" w:hAnsi="Galliard"/>
          <w:sz w:val="18"/>
          <w:vertAlign w:val="superscript"/>
          <w:lang w:eastAsia="en-US"/>
        </w:rPr>
        <w:t>14</w:t>
      </w:r>
      <w:r>
        <w:rPr>
          <w:rFonts w:cs="Galliard" w:ascii="Galliard" w:hAnsi="Galliard"/>
          <w:sz w:val="24"/>
          <w:lang w:eastAsia="en-US"/>
        </w:rPr>
        <w:t xml:space="preserve">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This offer is not the first time that Duke Energy has attempted quickly to inject supply into the California retail market at fixed prices.  This past summer, Duke Energy publicly offered to provide 2,000 MW under a five-year, fixed-price contract at less than load serving utilities’ embedded cost rates (normalized for increases in projected gas costs).  If the Commission’s reforms are implemented, and linked with state measures intended to  give load-serving utilities assurances that competitively bid forward contracts will not be second guessed in prudency proceedings, Duke Energy foresees opportunities for the market to offer a portfolio of radically new forward contracts.  </w:t>
      </w:r>
    </w:p>
    <w:p>
      <w:pPr>
        <w:pStyle w:val="Normal"/>
        <w:spacing w:lineRule="auto" w:line="480"/>
        <w:rPr>
          <w:rFonts w:ascii="Galliard" w:hAnsi="Galliard" w:cs="Galliard"/>
          <w:sz w:val="24"/>
          <w:lang w:eastAsia="en-US"/>
        </w:rPr>
      </w:pPr>
      <w:r>
        <w:rPr>
          <w:rFonts w:cs="Galliard" w:ascii="Galliard" w:hAnsi="Galliard"/>
          <w:sz w:val="24"/>
          <w:lang w:eastAsia="en-US"/>
        </w:rPr>
        <w:t xml:space="preserve">In short, Duke Energy stands ready to offer, and believes that other suppliers (both marketers and owners of California-sited generation) would compete to offer, long-term, fixed-price contracts to supply substantially all of the energy requirements of not only SDG&amp;E, but the other California load-serving utilities as well.  Through these and similar transactions, wholesale price risk would be lifted from the shoulders of retail consumers and distribution utilities and transferred to wholesale market suppliers  prepared to manage future price and supply risk, without the need for any artificial and stultifying price caps.  </w:t>
      </w:r>
    </w:p>
    <w:p>
      <w:pPr>
        <w:pStyle w:val="Normal"/>
        <w:spacing w:lineRule="auto" w:line="480"/>
        <w:rPr/>
      </w:pPr>
      <w:r>
        <w:rPr>
          <w:rFonts w:cs="Galliard" w:ascii="Galliard" w:hAnsi="Galliard"/>
          <w:sz w:val="24"/>
          <w:lang w:eastAsia="en-US"/>
        </w:rPr>
        <w:t xml:space="preserve">But it is not enough for only the Commission to implement the reforms that are within its jurisdiction.  The Staff Report and two other independent analyses by market monitors have rightfully concluded that severe </w:t>
      </w:r>
      <w:r>
        <w:rPr>
          <w:rFonts w:cs="Galliard" w:ascii="Galliard" w:hAnsi="Galliard"/>
          <w:sz w:val="24"/>
          <w:u w:val="single"/>
          <w:lang w:eastAsia="en-US"/>
        </w:rPr>
        <w:t>retail</w:t>
      </w:r>
      <w:r>
        <w:rPr>
          <w:rFonts w:cs="Galliard" w:ascii="Galliard" w:hAnsi="Galliard"/>
          <w:sz w:val="24"/>
          <w:lang w:eastAsia="en-US"/>
        </w:rPr>
        <w:t xml:space="preserve"> market design flaws must also be fixed if California retail consumers are to be truly protected from wholesale price volatility.</w:t>
      </w:r>
      <w:r>
        <w:rPr>
          <w:rFonts w:cs="Galliard" w:ascii="Galliard" w:hAnsi="Galliard"/>
          <w:sz w:val="18"/>
          <w:vertAlign w:val="superscript"/>
          <w:lang w:eastAsia="en-US"/>
        </w:rPr>
        <w:t xml:space="preserve"> 15</w:t>
      </w:r>
      <w:r>
        <w:rPr>
          <w:rFonts w:cs="Galliard" w:ascii="Galliard" w:hAnsi="Galliard"/>
          <w:sz w:val="24"/>
          <w:lang w:eastAsia="en-US"/>
        </w:rPr>
        <w:t xml:space="preserve">  These design changes include removing barriers to entry of new generation, increasing demand side price responsiveness, and setting a fixed default provider retail rate at a level that encourages true retail competition.  It is incumbent upon the CPUC and other California agencies and officials to do their part to correct existing retail market flaws in order to prevent a recurrence of the market volatility being inflicted on SDG&amp;E consumers.</w:t>
      </w:r>
      <w:r>
        <w:br w:type="page"/>
      </w:r>
    </w:p>
    <w:p>
      <w:pPr>
        <w:pStyle w:val="Normal"/>
        <w:spacing w:lineRule="auto" w:line="480"/>
        <w:rPr>
          <w:rFonts w:ascii="Galliard" w:hAnsi="Galliard" w:cs="Galliard"/>
          <w:sz w:val="24"/>
          <w:lang w:eastAsia="en-US"/>
        </w:rPr>
      </w:pPr>
      <w:r>
        <w:rPr>
          <w:rFonts w:cs="Galliard" w:ascii="Galliard" w:hAnsi="Galliard"/>
          <w:sz w:val="24"/>
          <w:lang w:eastAsia="en-US"/>
        </w:rPr>
      </w:r>
    </w:p>
    <w:p>
      <w:pPr>
        <w:pStyle w:val="Normal"/>
        <w:spacing w:lineRule="auto" w:line="480"/>
        <w:rPr>
          <w:rFonts w:ascii="Galliard" w:hAnsi="Galliard" w:cs="Galliard"/>
          <w:sz w:val="24"/>
          <w:lang w:eastAsia="en-US"/>
        </w:rPr>
      </w:pPr>
      <w:r>
        <w:rPr>
          <w:rFonts w:cs="Galliard" w:ascii="Galliard" w:hAnsi="Galliard"/>
          <w:sz w:val="24"/>
          <w:lang w:eastAsia="en-US"/>
        </w:rPr>
      </w:r>
    </w:p>
    <w:p>
      <w:pPr>
        <w:pStyle w:val="Normal"/>
        <w:spacing w:lineRule="auto" w:line="480"/>
        <w:rPr>
          <w:rFonts w:ascii="Galliard" w:hAnsi="Galliard" w:cs="Galliard"/>
          <w:sz w:val="24"/>
          <w:lang w:eastAsia="en-US"/>
        </w:rPr>
      </w:pPr>
      <w:r>
        <w:rPr>
          <w:rFonts w:cs="Galliard" w:ascii="Galliard" w:hAnsi="Galliard"/>
          <w:sz w:val="24"/>
          <w:lang w:eastAsia="en-US"/>
        </w:rPr>
        <w:t>There are four keys to this transformation of California’s electricity markets:</w:t>
      </w:r>
    </w:p>
    <w:p>
      <w:pPr>
        <w:pStyle w:val="Normal"/>
        <w:rPr/>
      </w:pPr>
      <w:r>
        <w:rPr>
          <w:sz w:val="24"/>
          <w:lang w:eastAsia="en-US"/>
        </w:rPr>
        <w:tab/>
        <w:t>1.</w:t>
        <w:tab/>
      </w:r>
      <w:r>
        <w:rPr>
          <w:rFonts w:cs="Galliard" w:ascii="Galliard" w:hAnsi="Galliard"/>
          <w:sz w:val="24"/>
          <w:lang w:eastAsia="en-US"/>
        </w:rPr>
        <w:t>Suppliers must be assured that they are not subject to refunds of summer 2000 revenues, protracted litigation or condemnation threats.  The Proposed Order’s reforms of market structures and rules need to be adopted (subject to the modifications described herein).  Thereafter, there must be a climate conducive to regulatory stability.  Market participants must not face the prospect that, in the absence of any improper exercise of market power, wholesale market prices will be overturned because of perceptions that those prices exceed costs or that scarcity rents are excessive.</w:t>
      </w:r>
    </w:p>
    <w:p>
      <w:pPr>
        <w:pStyle w:val="Normal"/>
        <w:rPr/>
      </w:pPr>
      <w:r>
        <w:rPr>
          <w:sz w:val="24"/>
          <w:lang w:eastAsia="en-US"/>
        </w:rPr>
        <w:tab/>
        <w:t>2.</w:t>
        <w:tab/>
      </w:r>
      <w:r>
        <w:rPr>
          <w:rFonts w:cs="Galliard" w:ascii="Galliard" w:hAnsi="Galliard"/>
          <w:sz w:val="24"/>
          <w:lang w:eastAsia="en-US"/>
        </w:rPr>
        <w:t>State authorities must empower load-serving utilities to embrace fully forward contracting.  The best way to assure that state reforms occur is for the Commission to identify exactly what type of assurances wholesale market purchasers need and to link the implementation of any price mitigation measures to adoption of parallel state reforms.</w:t>
      </w:r>
    </w:p>
    <w:p>
      <w:pPr>
        <w:pStyle w:val="Normal"/>
        <w:rPr/>
      </w:pPr>
      <w:r>
        <w:rPr>
          <w:sz w:val="24"/>
          <w:lang w:eastAsia="en-US"/>
        </w:rPr>
        <w:tab/>
        <w:t>3.</w:t>
        <w:tab/>
      </w:r>
      <w:r>
        <w:rPr>
          <w:rFonts w:cs="Galliard" w:ascii="Galliard" w:hAnsi="Galliard"/>
          <w:sz w:val="24"/>
          <w:lang w:eastAsia="en-US"/>
        </w:rPr>
        <w:t>State authorities must take additional measures to remove barriers to entry of new generation, increase demand-side price responsiveness, and provide a retail market structure that encourages true competition at the retail level.</w:t>
      </w:r>
    </w:p>
    <w:p>
      <w:pPr>
        <w:pStyle w:val="Normal"/>
        <w:rPr/>
      </w:pPr>
      <w:r>
        <w:rPr>
          <w:sz w:val="24"/>
          <w:lang w:eastAsia="en-US"/>
        </w:rPr>
        <w:tab/>
        <w:t>4.</w:t>
        <w:tab/>
      </w:r>
      <w:r>
        <w:rPr>
          <w:rFonts w:cs="Galliard" w:ascii="Galliard" w:hAnsi="Galliard"/>
          <w:sz w:val="24"/>
          <w:lang w:eastAsia="en-US"/>
        </w:rPr>
        <w:t xml:space="preserve">Suppliers must be freed once and for all from price caps, while accepting carefully tailored market monitoring and mitigation of any abuse of market power.  In this vein, the Commission’s “soft cap” proposal, while innovative, must be modified so that reporting burdens are minimized, the period of exposure to price mitigation is shortened, and clearly articulated price mitigation criteria are established that can be applied in a neutral and expeditious manner. </w:t>
      </w:r>
    </w:p>
    <w:p>
      <w:pPr>
        <w:pStyle w:val="Normal"/>
        <w:rPr>
          <w:rFonts w:ascii="Galliard" w:hAnsi="Galliard" w:cs="Galliard"/>
          <w:sz w:val="24"/>
          <w:lang w:eastAsia="en-US"/>
        </w:rPr>
      </w:pPr>
      <w:r>
        <w:rPr>
          <w:rFonts w:cs="Galliard" w:ascii="Galliard" w:hAnsi="Galliard"/>
          <w:sz w:val="24"/>
          <w:lang w:eastAsia="en-US"/>
        </w:rPr>
      </w:r>
    </w:p>
    <w:p>
      <w:pPr>
        <w:pStyle w:val="Normal"/>
        <w:spacing w:lineRule="auto" w:line="480"/>
        <w:rPr>
          <w:rFonts w:ascii="Galliard" w:hAnsi="Galliard" w:cs="Galliard"/>
          <w:sz w:val="24"/>
          <w:lang w:eastAsia="en-US"/>
        </w:rPr>
      </w:pPr>
      <w:r>
        <w:rPr>
          <w:rFonts w:cs="Galliard" w:ascii="Galliard" w:hAnsi="Galliard"/>
          <w:sz w:val="24"/>
          <w:lang w:eastAsia="en-US"/>
        </w:rPr>
        <w:t xml:space="preserve">The remainder of Duke Energy’s comments will address these four keys to market reform.  </w:t>
      </w:r>
      <w:r>
        <w:br w:type="page"/>
      </w:r>
    </w:p>
    <w:p>
      <w:pPr>
        <w:pStyle w:val="Normal"/>
        <w:spacing w:lineRule="auto" w:line="480"/>
        <w:rPr>
          <w:rFonts w:ascii="Galliard" w:hAnsi="Galliard" w:cs="Galliard"/>
          <w:b/>
          <w:sz w:val="24"/>
          <w:lang w:eastAsia="en-US"/>
        </w:rPr>
      </w:pPr>
      <w:r>
        <w:rPr>
          <w:rFonts w:cs="Galliard" w:ascii="Galliard" w:hAnsi="Galliard"/>
          <w:b/>
          <w:sz w:val="24"/>
          <w:lang w:eastAsia="en-US"/>
        </w:rPr>
      </w:r>
    </w:p>
    <w:p>
      <w:pPr>
        <w:pStyle w:val="Normal"/>
        <w:rPr/>
      </w:pPr>
      <w:r>
        <w:rPr>
          <w:sz w:val="24"/>
          <w:lang w:eastAsia="en-US"/>
        </w:rPr>
        <w:t>II.</w:t>
        <w:tab/>
      </w:r>
      <w:r>
        <w:rPr>
          <w:rFonts w:cs="Galliard" w:ascii="Galliard" w:hAnsi="Galliard"/>
          <w:b/>
          <w:sz w:val="24"/>
          <w:lang w:eastAsia="en-US"/>
        </w:rPr>
        <w:t>THE COMMISSION SHOULD FIND THAT (1) OVERALL SUMMER 2000 PRICES WERE CAUSED BY SUPPLY AND DEMAND FUNDAMENTALS, (2) THERE IS NO EVIDENCE THAT THERE WAS ANY IMPROPER EXERCISE OF MARKET POWER, AND (3) OVERALL PRICE LEVELS WERE IN LINE WITH OTHER JUST AND REASONABLE BENCHMARKS; THEREFORE, RETROACTIVE REFUNDS AND ANY OTHER ADJUSTMENTS ON ACCOUNT OF SUMMER 2000 WHOLESALE PRICES WOULD BE NEITHER LEGALLY NOR EQUITABLY JUSTIFIED</w:t>
      </w:r>
    </w:p>
    <w:p>
      <w:pPr>
        <w:pStyle w:val="Normal"/>
        <w:tabs>
          <w:tab w:val="clear" w:pos="720"/>
          <w:tab w:val="right" w:pos="1368" w:leader="none"/>
          <w:tab w:val="left" w:pos="1800" w:leader="none"/>
        </w:tabs>
        <w:ind w:hanging="3240" w:start="1800" w:end="0"/>
        <w:rPr/>
      </w:pPr>
      <w:r>
        <w:rPr>
          <w:sz w:val="24"/>
          <w:lang w:eastAsia="en-US"/>
        </w:rPr>
        <w:tab/>
        <w:t>A.</w:t>
        <w:tab/>
      </w:r>
      <w:r>
        <w:rPr>
          <w:rFonts w:cs="Galliard" w:ascii="Galliard" w:hAnsi="Galliard"/>
          <w:sz w:val="24"/>
          <w:u w:val="single"/>
          <w:lang w:eastAsia="en-US"/>
        </w:rPr>
        <w:t xml:space="preserve">The Summer 2000 Wholesale Price Increases Occurred Because Supply And Demand Fundamentals Created Conditions Of Scarcity, Production And Opportunity Cost Increases </w:t>
      </w:r>
    </w:p>
    <w:p>
      <w:pPr>
        <w:pStyle w:val="Normal"/>
        <w:spacing w:lineRule="auto" w:line="480"/>
        <w:rPr/>
      </w:pPr>
      <w:r>
        <w:rPr>
          <w:rFonts w:cs="Galliard" w:ascii="Galliard" w:hAnsi="Galliard"/>
          <w:sz w:val="24"/>
          <w:lang w:eastAsia="en-US"/>
        </w:rPr>
        <w:t>The Staff Report documents many reinforcing supply and demand conditions that contributed during the summer of 2000 to scarcity, increases in production and opportunity costs, and resulting high wholesale market prices in California and throughout the WSCC region.  These supply and demand conditions included (i) significant increases in load attributable to hot weather and increased economic activity;</w:t>
      </w:r>
      <w:r>
        <w:rPr>
          <w:rFonts w:cs="Galliard" w:ascii="Galliard" w:hAnsi="Galliard"/>
          <w:sz w:val="18"/>
          <w:vertAlign w:val="superscript"/>
          <w:lang w:eastAsia="en-US"/>
        </w:rPr>
        <w:t>16</w:t>
      </w:r>
      <w:r>
        <w:rPr>
          <w:rFonts w:cs="Galliard" w:ascii="Galliard" w:hAnsi="Galliard"/>
          <w:sz w:val="24"/>
          <w:lang w:eastAsia="en-US"/>
        </w:rPr>
        <w:t xml:space="preserve"> (ii) a reduction through the summer of imports, attributable to dry hydro conditions in the Northwest; (iii) even higher prices outside California encouraging increases in exports; (iv) an increase in unplanned outages;</w:t>
      </w:r>
      <w:r>
        <w:rPr>
          <w:rFonts w:cs="Galliard" w:ascii="Galliard" w:hAnsi="Galliard"/>
          <w:sz w:val="18"/>
          <w:vertAlign w:val="superscript"/>
          <w:lang w:eastAsia="en-US"/>
        </w:rPr>
        <w:t>17</w:t>
      </w:r>
      <w:r>
        <w:rPr>
          <w:rFonts w:cs="Galliard" w:ascii="Galliard" w:hAnsi="Galliard"/>
          <w:sz w:val="24"/>
          <w:lang w:eastAsia="en-US"/>
        </w:rPr>
        <w:t xml:space="preserve"> (v) a more than doubling of natural gas prices (from approximately $2 per MMBtu early in 2000 to approximately $5 per MMBtu by August); and (vi) an increase in the price of NOx emissions credits of more than 700 percent between May and September.  </w:t>
      </w:r>
    </w:p>
    <w:p>
      <w:pPr>
        <w:pStyle w:val="Normal"/>
        <w:rPr/>
      </w:pPr>
      <w:r>
        <w:rPr>
          <w:sz w:val="24"/>
          <w:lang w:eastAsia="en-US"/>
        </w:rPr>
        <w:tab/>
        <w:t>1.</w:t>
        <w:tab/>
      </w:r>
      <w:r>
        <w:rPr>
          <w:rFonts w:cs="Galliard" w:ascii="Galliard" w:hAnsi="Galliard"/>
          <w:sz w:val="24"/>
          <w:u w:val="single"/>
          <w:lang w:eastAsia="en-US"/>
        </w:rPr>
        <w:t>Production costs increased unexpectedly in 2000</w:t>
      </w:r>
    </w:p>
    <w:p>
      <w:pPr>
        <w:pStyle w:val="Normal"/>
        <w:spacing w:lineRule="auto" w:line="480"/>
        <w:rPr/>
      </w:pPr>
      <w:r>
        <w:rPr>
          <w:rFonts w:cs="Galliard" w:ascii="Galliard" w:hAnsi="Galliard"/>
          <w:sz w:val="24"/>
          <w:lang w:eastAsia="en-US"/>
        </w:rPr>
        <w:t>It is well documented that prices for production inputs increased substantially during the summer of 2000, contributing to the increase in electricity prices.  The Staff Report notes that natural gas prices increased from approximately $2.00/MMBtu to approximately $5.00/MMBtu during 2000 and current vintage NOx credit prices increased from approximately $6.00/lb to over $40/lb over the summer season of 2000.</w:t>
      </w:r>
      <w:r>
        <w:rPr>
          <w:rFonts w:cs="Galliard" w:ascii="Galliard" w:hAnsi="Galliard"/>
          <w:sz w:val="18"/>
          <w:vertAlign w:val="superscript"/>
          <w:lang w:eastAsia="en-US"/>
        </w:rPr>
        <w:t>18</w:t>
      </w:r>
      <w:r>
        <w:rPr>
          <w:rFonts w:cs="Galliard" w:ascii="Galliard" w:hAnsi="Galliard"/>
          <w:sz w:val="24"/>
          <w:lang w:eastAsia="en-US"/>
        </w:rPr>
        <w:t xml:space="preserve">  But, increases in production costs should not be expected to act as dollar for dollar caps on increases in electricity bids or prices.  At least two important factors must be considered, in addition to the increase in average market cost of production inputs.</w:t>
      </w:r>
    </w:p>
    <w:p>
      <w:pPr>
        <w:pStyle w:val="Normal"/>
        <w:spacing w:lineRule="auto" w:line="480"/>
        <w:rPr>
          <w:rFonts w:ascii="Galliard" w:hAnsi="Galliard" w:cs="Galliard"/>
          <w:sz w:val="24"/>
          <w:lang w:eastAsia="en-US"/>
        </w:rPr>
      </w:pPr>
      <w:r>
        <w:rPr>
          <w:rFonts w:cs="Galliard" w:ascii="Galliard" w:hAnsi="Galliard"/>
          <w:sz w:val="24"/>
          <w:lang w:eastAsia="en-US"/>
        </w:rPr>
        <w:t>First, in times of scarce capacity, which occurred during much of summer 2000, the fuel efficiency and environmental performance of the high-cost generating units bid into the market will be much less than the average system-wide fuel efficiency and environmental performance .  The PX Report notes that gas-fired generation resources “account for most of the resources capable of adjusting output to demand.”</w:t>
      </w:r>
      <w:r>
        <w:rPr>
          <w:rFonts w:cs="Galliard" w:ascii="Galliard" w:hAnsi="Galliard"/>
          <w:sz w:val="18"/>
          <w:vertAlign w:val="superscript"/>
          <w:lang w:eastAsia="en-US"/>
        </w:rPr>
        <w:t>19</w:t>
      </w:r>
      <w:r>
        <w:rPr>
          <w:rFonts w:cs="Galliard" w:ascii="Galliard" w:hAnsi="Galliard"/>
          <w:sz w:val="24"/>
          <w:lang w:eastAsia="en-US"/>
        </w:rPr>
        <w:t xml:space="preserve">  The Staff Report acknowledges that gas-fired combustion turbines that serve as peaking units have a heat rate that may be 60 percent less efficient than combined cycle base load units (16,000 Btu/kWh vs. 10,000 Btu/kWh) and NOx emission rates that are double (2 lb/MWh vs. 1 lb/MWh) those of combined cycle units.  The Staff Report estimates that a combustion turbine in the RECLAIM area could have experienced a summer 2000 average increase in gas and NOx credit costs from $44/MWh to $160MWh.</w:t>
      </w:r>
      <w:r>
        <w:rPr>
          <w:rFonts w:cs="Galliard" w:ascii="Galliard" w:hAnsi="Galliard"/>
          <w:sz w:val="18"/>
          <w:vertAlign w:val="superscript"/>
          <w:lang w:eastAsia="en-US"/>
        </w:rPr>
        <w:t>20</w:t>
      </w:r>
      <w:r>
        <w:rPr>
          <w:rFonts w:cs="Galliard" w:ascii="Galliard" w:hAnsi="Galliard"/>
          <w:sz w:val="24"/>
          <w:lang w:eastAsia="en-US"/>
        </w:rPr>
        <w:t xml:space="preserve">  But, the Staff Report concedes that its calculations are based on estimates, and, therefore, prices in the future may be even higher than expected and efficiency rates may be worse.  Thus, a footnote in the Staff Report, in comparing its estimates to those of the CAISO’s Department of Market Analysis, concludes “[g]iven the uncertainties in the information, either estimate [Staff’s or CAISO’s] </w:t>
      </w:r>
      <w:r>
        <w:rPr>
          <w:rFonts w:cs="Galliard" w:ascii="Galliard" w:hAnsi="Galliard"/>
          <w:sz w:val="24"/>
          <w:u w:val="single"/>
          <w:lang w:eastAsia="en-US"/>
        </w:rPr>
        <w:t>is consistent with high prices close to $250 [per MWh] in August</w:t>
      </w:r>
      <w:r>
        <w:rPr>
          <w:rFonts w:cs="Galliard" w:ascii="Galliard" w:hAnsi="Galliard"/>
          <w:sz w:val="24"/>
          <w:lang w:eastAsia="en-US"/>
        </w:rPr>
        <w:t>.”</w:t>
      </w:r>
      <w:r>
        <w:rPr>
          <w:rFonts w:cs="Galliard" w:ascii="Galliard" w:hAnsi="Galliard"/>
          <w:sz w:val="18"/>
          <w:vertAlign w:val="superscript"/>
          <w:lang w:eastAsia="en-US"/>
        </w:rPr>
        <w:t>21</w:t>
      </w:r>
      <w:r>
        <w:rPr>
          <w:rFonts w:cs="Galliard" w:ascii="Galliard" w:hAnsi="Galliard"/>
          <w:sz w:val="24"/>
          <w:lang w:eastAsia="en-US"/>
        </w:rPr>
        <w:t xml:space="preserve">   The PX Report offers an even higher estimate of marginal production costs, concluding that “</w:t>
      </w:r>
      <w:r>
        <w:rPr>
          <w:rFonts w:cs="Galliard" w:ascii="Galliard" w:hAnsi="Galliard"/>
          <w:sz w:val="24"/>
          <w:u w:val="single"/>
          <w:lang w:eastAsia="en-US"/>
        </w:rPr>
        <w:t>marginal costs</w:t>
      </w:r>
      <w:r>
        <w:rPr>
          <w:rFonts w:cs="Galliard" w:ascii="Galliard" w:hAnsi="Galliard"/>
          <w:sz w:val="24"/>
          <w:lang w:eastAsia="en-US"/>
        </w:rPr>
        <w:t xml:space="preserve"> [in SP15] during peak demand periods when all available units are operating, </w:t>
      </w:r>
      <w:r>
        <w:rPr>
          <w:rFonts w:cs="Galliard" w:ascii="Galliard" w:hAnsi="Galliard"/>
          <w:sz w:val="24"/>
          <w:u w:val="single"/>
          <w:lang w:eastAsia="en-US"/>
        </w:rPr>
        <w:t>could approach $500/MWh</w:t>
      </w:r>
      <w:r>
        <w:rPr>
          <w:rFonts w:cs="Galliard" w:ascii="Galliard" w:hAnsi="Galliard"/>
          <w:sz w:val="24"/>
          <w:lang w:eastAsia="en-US"/>
        </w:rPr>
        <w:t>.”</w:t>
      </w:r>
      <w:r>
        <w:rPr>
          <w:rFonts w:cs="Galliard" w:ascii="Galliard" w:hAnsi="Galliard"/>
          <w:sz w:val="18"/>
          <w:vertAlign w:val="superscript"/>
          <w:lang w:eastAsia="en-US"/>
        </w:rPr>
        <w:t>22</w:t>
      </w:r>
    </w:p>
    <w:p>
      <w:pPr>
        <w:pStyle w:val="Normal"/>
        <w:spacing w:lineRule="auto" w:line="480"/>
        <w:rPr>
          <w:rFonts w:ascii="Galliard" w:hAnsi="Galliard" w:cs="Galliard"/>
          <w:sz w:val="24"/>
          <w:lang w:eastAsia="en-US"/>
        </w:rPr>
      </w:pPr>
      <w:r>
        <w:rPr>
          <w:rFonts w:cs="Galliard" w:ascii="Galliard" w:hAnsi="Galliard"/>
          <w:sz w:val="24"/>
          <w:lang w:eastAsia="en-US"/>
        </w:rPr>
        <w:t xml:space="preserve">Natural gas prices have continued to fluctuate into the fall of 2000, reaching over $12.00/MMBtu at times.  Such volatility, in a market thought to be fully competitive, affects expectations of suppliers and bidders in the electricity markets.  Thus, the second factor to consider in evaluating the impact on electricity prices of increases in input prices is uncertainty.  Bidding strategies of generators and marketers are affected by uncertainty as to future trends in gas prices and environmental credit prices.  One might reasonably expect that as volatility in gas and environmental credit prices increases, volatility in electricity prices would be amplified. </w:t>
      </w:r>
    </w:p>
    <w:p>
      <w:pPr>
        <w:pStyle w:val="Normal"/>
        <w:spacing w:lineRule="auto" w:line="480"/>
        <w:rPr/>
      </w:pPr>
      <w:r>
        <w:rPr>
          <w:rFonts w:cs="Galliard" w:ascii="Galliard" w:hAnsi="Galliard"/>
          <w:sz w:val="24"/>
          <w:lang w:eastAsia="en-US"/>
        </w:rPr>
        <w:t>Some have argued that the spread between average marginal costs for gas-fired generation and electricity prices is so large as to imply the exercise of market power.  This is neither necessarily nor presumptively so.  The PX Report takes note of such arguments and cautions that conditions of true scarcity can also explain the electricity price trends.  Based on its evaluation of the fuels and environmental markets during the summer of 2000, the PX Report concludes: “a look at the relationship between gas prices and environmental emissions standards in California will further establish [true scarcity] as a major factor in the explanation of [electricity] price movements during the event period [summer 2000].”</w:t>
      </w:r>
      <w:r>
        <w:rPr>
          <w:rFonts w:cs="Galliard" w:ascii="Galliard" w:hAnsi="Galliard"/>
          <w:sz w:val="18"/>
          <w:vertAlign w:val="superscript"/>
          <w:lang w:eastAsia="en-US"/>
        </w:rPr>
        <w:t>23</w:t>
      </w:r>
      <w:r>
        <w:rPr>
          <w:rFonts w:cs="Galliard" w:ascii="Galliard" w:hAnsi="Galliard"/>
          <w:sz w:val="24"/>
          <w:lang w:eastAsia="en-US"/>
        </w:rPr>
        <w:t xml:space="preserve">  In sum, the production cost increases, and increased uncertainty surrounding such increases amply explains market bidding behavior and how the wholesale prices experienced in the summer of 2000 came to be realized.  In light of this evidence, there is no basis to conclude that such prices were unjust and unreasonable.</w:t>
      </w:r>
    </w:p>
    <w:p>
      <w:pPr>
        <w:pStyle w:val="Normal"/>
        <w:rPr/>
      </w:pPr>
      <w:r>
        <w:rPr>
          <w:sz w:val="24"/>
          <w:lang w:eastAsia="en-US"/>
        </w:rPr>
        <w:tab/>
        <w:t>2.</w:t>
        <w:tab/>
      </w:r>
      <w:r>
        <w:rPr>
          <w:rFonts w:cs="Galliard" w:ascii="Galliard" w:hAnsi="Galliard"/>
          <w:sz w:val="24"/>
          <w:u w:val="single"/>
          <w:lang w:eastAsia="en-US"/>
        </w:rPr>
        <w:t xml:space="preserve">The severity and the unexpectedness of declining reserve margins in California and throughout the WSCC contributed to sharp increases in wholesale electricity prices </w:t>
      </w:r>
    </w:p>
    <w:p>
      <w:pPr>
        <w:pStyle w:val="Normal"/>
        <w:spacing w:lineRule="auto" w:line="480"/>
        <w:rPr>
          <w:rFonts w:ascii="Galliard" w:hAnsi="Galliard" w:cs="Galliard"/>
          <w:sz w:val="24"/>
          <w:lang w:eastAsia="en-US"/>
        </w:rPr>
      </w:pPr>
      <w:r>
        <w:rPr>
          <w:rFonts w:cs="Galliard" w:ascii="Galliard" w:hAnsi="Galliard"/>
          <w:sz w:val="24"/>
          <w:lang w:eastAsia="en-US"/>
        </w:rPr>
        <w:t>The PX Report authored by the PX Compliance Unit offers a highly credible explanation of how unexpected changes in reserve margins, resulting from the rapidly changing supply and demand fundamentals, contributed to the volatility and sharp run-up in wholesale prices in California and throughout the WSCC region during the summer of 2000.  As the PX Report amply proves, California’s summer 2000 price spikes are explained by the tightening of reserve margins to very low levels and by the suddenness and severity of the emerging scarcity.  The California experience is in-line with national experience where reserve margin reductions correlate closely with wholesale price spikes.  These relationships between reserve margins and wholesale prices are evidence not of market failure or improper exercise of market power, but of the wholesale market functioning as it should by providing important price signals in the face of emerging scarcity.</w:t>
      </w:r>
    </w:p>
    <w:p>
      <w:pPr>
        <w:pStyle w:val="Normal"/>
        <w:spacing w:lineRule="auto" w:line="480"/>
        <w:rPr/>
      </w:pPr>
      <w:r>
        <w:rPr>
          <w:rFonts w:cs="Galliard" w:ascii="Galliard" w:hAnsi="Galliard"/>
          <w:sz w:val="24"/>
          <w:lang w:eastAsia="en-US"/>
        </w:rPr>
        <w:t>Because of the interconnected operation and interchange between the CAISO and the WSCC, the PX Report emphasizes the role that CAISO and WSCC forecasts of market fundamentals and reserve margins played in the volatility of California market prices during the summer of 2000.  Market prices reflect bidding strategies that individual market participants pursue based on the best information available to them.  When that information proves to be unreliable, and supply and demand fundamentals become unpredictable, price pressures build and volatility becomes more pronounced.  The PX Report notes that CAISO expected load information from its day-ahead market, “coupled with WSCC information, plays an important, though certainly not exclusive, role in bid decision-making by all Market Participants.”</w:t>
      </w:r>
      <w:r>
        <w:rPr>
          <w:rFonts w:cs="Galliard" w:ascii="Galliard" w:hAnsi="Galliard"/>
          <w:sz w:val="18"/>
          <w:vertAlign w:val="superscript"/>
          <w:lang w:eastAsia="en-US"/>
        </w:rPr>
        <w:t>24</w:t>
      </w:r>
      <w:r>
        <w:rPr>
          <w:rFonts w:cs="Galliard" w:ascii="Galliard" w:hAnsi="Galliard"/>
          <w:sz w:val="24"/>
          <w:lang w:eastAsia="en-US"/>
        </w:rPr>
        <w:t xml:space="preserve">  The PX Report concludes that “[f]or the event period under consideration [summer 2000], information from the WSCC in particular was out of synchronization with actual events.  Further, system reliability requirements under WSCC rules contributed to system-wide upward price pressure on electric power, most notably driven by concerns over reserve margin sufficiency.”</w:t>
      </w:r>
      <w:r>
        <w:rPr>
          <w:rFonts w:cs="Galliard" w:ascii="Galliard" w:hAnsi="Galliard"/>
          <w:sz w:val="18"/>
          <w:vertAlign w:val="superscript"/>
          <w:lang w:eastAsia="en-US"/>
        </w:rPr>
        <w:t>25</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Both the PX Report and the Staff Report noted that there were significantly larger deviations between forecasts and actual peak loads in summer 2000 than in prior summers.  Peak loads are a principal determinant of margins.  The Staff Report shows that during the summer months of 2000, “peak load is volatile over a fairly wide range, sometimes swinging rapidly from under 30,000 MW to over 40,000 MW.  Managing these fluctuations is a complex task under any circumstance, but it becomes even more difficult in a complex market environment in transition.”</w:t>
      </w:r>
      <w:r>
        <w:rPr>
          <w:rFonts w:cs="Galliard" w:ascii="Galliard" w:hAnsi="Galliard"/>
          <w:sz w:val="18"/>
          <w:vertAlign w:val="superscript"/>
          <w:lang w:eastAsia="en-US"/>
        </w:rPr>
        <w:t>26</w:t>
      </w:r>
      <w:r>
        <w:rPr>
          <w:rFonts w:cs="Galliard" w:ascii="Galliard" w:hAnsi="Galliard"/>
          <w:sz w:val="24"/>
          <w:lang w:eastAsia="en-US"/>
        </w:rPr>
        <w:t xml:space="preserve">  The Staff Report goes on to find that “the peak forecast and actual loads ... indicate how difficult peak conditions and forecasting became in 2000.  While May forecasts and actuals both tracked 1999 and 1998, the forecasts in 2000 began to deviate as the summer progressed.”</w:t>
      </w:r>
      <w:r>
        <w:rPr>
          <w:rFonts w:cs="Galliard" w:ascii="Galliard" w:hAnsi="Galliard"/>
          <w:sz w:val="18"/>
          <w:vertAlign w:val="superscript"/>
          <w:lang w:eastAsia="en-US"/>
        </w:rPr>
        <w:t>27</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In May 2000, the WSCC forecast that reserve margins in the California region would range from 39% in May to 26.3% in June to approximately 17% in July and August.</w:t>
      </w:r>
      <w:r>
        <w:rPr>
          <w:rFonts w:cs="Galliard" w:ascii="Galliard" w:hAnsi="Galliard"/>
          <w:sz w:val="18"/>
          <w:vertAlign w:val="superscript"/>
          <w:lang w:eastAsia="en-US"/>
        </w:rPr>
        <w:t>28</w:t>
      </w:r>
      <w:r>
        <w:rPr>
          <w:rFonts w:cs="Galliard" w:ascii="Galliard" w:hAnsi="Galliard"/>
          <w:sz w:val="24"/>
          <w:lang w:eastAsia="en-US"/>
        </w:rPr>
        <w:t xml:space="preserve"> These comfortable margins of more than 17% for the entire summer were, of course, never realized.  In fact, rather than the 39% margin projected at the beginning of the month, actual reserve margins in May averaged 4.8%.  Rather than the 26.3% reserve margin estimated for June, actual reserve margins averaged 6.1%.</w:t>
      </w:r>
      <w:r>
        <w:rPr>
          <w:rFonts w:cs="Galliard" w:ascii="Galliard" w:hAnsi="Galliard"/>
          <w:sz w:val="18"/>
          <w:vertAlign w:val="superscript"/>
          <w:lang w:eastAsia="en-US"/>
        </w:rPr>
        <w:t>29</w:t>
      </w:r>
      <w:r>
        <w:rPr>
          <w:rFonts w:cs="Galliard" w:ascii="Galliard" w:hAnsi="Galliard"/>
          <w:sz w:val="24"/>
          <w:lang w:eastAsia="en-US"/>
        </w:rPr>
        <w:t xml:space="preserve">   The PX report notes that buyers and sellers in the western region bulk power markets would have relied on these reserve margin forecasts for their bidding and marketing strategies, since “for each of the four subregions  [WSCC prepares forecasts for] the difference between actual and forecasted peak demand exceeded 5% in only two of 10 years.  Thus, both buyers and sellers, using the best available information, most likely entered summer 2000 with assumptions, and associated bid strategies that justified a low error variance assumption based on the WSCC forecasts.”</w:t>
      </w:r>
      <w:r>
        <w:rPr>
          <w:rFonts w:cs="Galliard" w:ascii="Galliard" w:hAnsi="Galliard"/>
          <w:sz w:val="18"/>
          <w:vertAlign w:val="superscript"/>
          <w:lang w:eastAsia="en-US"/>
        </w:rPr>
        <w:t>30</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The PX report describes how a confluence of supply and demand fundamentals deviated from expected levels in 2000, contributing to the errors in forecasting of summer reserve margins.  First, the PX Report concludes that the extreme record heat in the summer of 2000 “was not an expected occurrence.”</w:t>
      </w:r>
      <w:r>
        <w:rPr>
          <w:rFonts w:cs="Galliard" w:ascii="Galliard" w:hAnsi="Galliard"/>
          <w:sz w:val="18"/>
          <w:vertAlign w:val="superscript"/>
          <w:lang w:eastAsia="en-US"/>
        </w:rPr>
        <w:t>31</w:t>
      </w:r>
      <w:r>
        <w:rPr>
          <w:rFonts w:cs="Galliard" w:ascii="Galliard" w:hAnsi="Galliard"/>
          <w:sz w:val="24"/>
          <w:lang w:eastAsia="en-US"/>
        </w:rPr>
        <w:t xml:space="preserve">  Second, while “early in the year 2000, a normal [hydropower] runoff was expected.  Actual runoff was considerably below expectations.”</w:t>
      </w:r>
      <w:r>
        <w:rPr>
          <w:rFonts w:cs="Galliard" w:ascii="Galliard" w:hAnsi="Galliard"/>
          <w:sz w:val="18"/>
          <w:vertAlign w:val="superscript"/>
          <w:lang w:eastAsia="en-US"/>
        </w:rPr>
        <w:t>32</w:t>
      </w:r>
      <w:r>
        <w:rPr>
          <w:rFonts w:cs="Galliard" w:ascii="Galliard" w:hAnsi="Galliard"/>
          <w:sz w:val="24"/>
          <w:lang w:eastAsia="en-US"/>
        </w:rPr>
        <w:t xml:space="preserve">  Third, WSCC forecasts assumed historic availability of generation, but the WSCC “reserve margins calculated without adjustment for age of plant reflect an over-estimate of the reserve margins.”</w:t>
      </w:r>
      <w:r>
        <w:rPr>
          <w:rFonts w:cs="Galliard" w:ascii="Galliard" w:hAnsi="Galliard"/>
          <w:sz w:val="18"/>
          <w:vertAlign w:val="superscript"/>
          <w:lang w:eastAsia="en-US"/>
        </w:rPr>
        <w:t>33</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The deviations between expected margins and actual margins had profound effects on the wholesale market, which is a normal result for competitive wholesale markets.  The PX Report concludes, in fact, that the deviations between expected and actual margins fully explain the price patterns observed in the summer of 2000: “For buyers and sellers relying on the best available information, bid strategies were distressed against expectations.  The reserve margins, compressed to extreme lows, produced prices consistent with [a private study’s] forecasts for what should be expected under such circumstances.”</w:t>
      </w:r>
      <w:r>
        <w:rPr>
          <w:rFonts w:cs="Galliard" w:ascii="Galliard" w:hAnsi="Galliard"/>
          <w:sz w:val="18"/>
          <w:vertAlign w:val="superscript"/>
          <w:lang w:eastAsia="en-US"/>
        </w:rPr>
        <w:t>34</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The PX Report shows that the California experience was consistent with nationwide experience that “a significant change in spot prices can be expected when reserve margins decline below established NERC standards.”</w:t>
      </w:r>
      <w:r>
        <w:rPr>
          <w:rFonts w:cs="Galliard" w:ascii="Galliard" w:hAnsi="Galliard"/>
          <w:sz w:val="18"/>
          <w:vertAlign w:val="superscript"/>
          <w:lang w:eastAsia="en-US"/>
        </w:rPr>
        <w:t>35</w:t>
      </w:r>
      <w:r>
        <w:rPr>
          <w:rFonts w:cs="Galliard" w:ascii="Galliard" w:hAnsi="Galliard"/>
          <w:sz w:val="24"/>
          <w:lang w:eastAsia="en-US"/>
        </w:rPr>
        <w:t xml:space="preserve">  When margins begin to drop below 15-20%, “spot prices start to trend upward, manifest mostly through high price spikes at critical peak periods.”</w:t>
      </w:r>
      <w:r>
        <w:rPr>
          <w:rFonts w:cs="Galliard" w:ascii="Galliard" w:hAnsi="Galliard"/>
          <w:sz w:val="18"/>
          <w:vertAlign w:val="superscript"/>
          <w:lang w:eastAsia="en-US"/>
        </w:rPr>
        <w:t>36</w:t>
      </w:r>
      <w:r>
        <w:rPr>
          <w:rFonts w:cs="Galliard" w:ascii="Galliard" w:hAnsi="Galliard"/>
          <w:sz w:val="24"/>
          <w:lang w:eastAsia="en-US"/>
        </w:rPr>
        <w:t xml:space="preserve">  These bulk power market trends have been detected nationwide in all NERC regions, including those with and without ISOs in current operation.  Relying on a national study relating price spikes to reserve margins, the PX Report concludes:</w:t>
      </w:r>
    </w:p>
    <w:p>
      <w:pPr>
        <w:pStyle w:val="Normal"/>
        <w:rPr>
          <w:rFonts w:ascii="Galliard" w:hAnsi="Galliard" w:cs="Galliard"/>
          <w:sz w:val="24"/>
          <w:lang w:eastAsia="en-US"/>
        </w:rPr>
      </w:pPr>
      <w:r>
        <w:rPr>
          <w:rFonts w:cs="Galliard" w:ascii="Galliard" w:hAnsi="Galliard"/>
          <w:sz w:val="24"/>
          <w:lang w:eastAsia="en-US"/>
        </w:rPr>
        <w:t>[W]hen reserve margins begin to drift below about 12%, spot prices start a sharp upward movement.  For reserve margins below 10%, the study finds that prices reach $1,000/MWh or more.  In most regions of the United States during 1999 and 2000, reserve margins were severely compromised because of lack of new generation.</w:t>
      </w:r>
    </w:p>
    <w:p>
      <w:pPr>
        <w:pStyle w:val="Normal"/>
        <w:rPr>
          <w:rFonts w:ascii="Galliard" w:hAnsi="Galliard" w:cs="Galliard"/>
          <w:sz w:val="24"/>
          <w:lang w:eastAsia="en-US"/>
        </w:rPr>
      </w:pPr>
      <w:r>
        <w:rPr>
          <w:rFonts w:cs="Galliard" w:ascii="Galliard" w:hAnsi="Galliard"/>
          <w:sz w:val="24"/>
          <w:lang w:eastAsia="en-US"/>
        </w:rPr>
        <w:t>By contrast, in 1999, the WSCC and New York were both generally secure in terms of acceptable reserve margins.  But during the May through July 2000 price event period in California, WSCC reserve margins moved downward, consistent with reserve margins elsewhere in the United States and basically in the “price spike zone” of less than 10%.  On a reserve margin basis alone, prices above $1,000 MWh are consistent with experience throughout the rest of the country.</w:t>
      </w:r>
      <w:r>
        <w:rPr>
          <w:rFonts w:cs="Galliard" w:ascii="Galliard" w:hAnsi="Galliard"/>
          <w:sz w:val="18"/>
          <w:vertAlign w:val="superscript"/>
          <w:lang w:eastAsia="en-US"/>
        </w:rPr>
        <w:t>37</w:t>
      </w:r>
    </w:p>
    <w:p>
      <w:pPr>
        <w:pStyle w:val="Normal"/>
        <w:spacing w:lineRule="auto" w:line="480"/>
        <w:rPr>
          <w:rFonts w:ascii="Galliard" w:hAnsi="Galliard" w:cs="Galliard"/>
          <w:sz w:val="24"/>
          <w:lang w:eastAsia="en-US"/>
        </w:rPr>
      </w:pPr>
      <w:r>
        <w:rPr>
          <w:rFonts w:cs="Galliard" w:ascii="Galliard" w:hAnsi="Galliard"/>
          <w:sz w:val="24"/>
          <w:lang w:eastAsia="en-US"/>
        </w:rPr>
        <w:t>In sum, what happened in California and the WSCC in the summer of 2000 was that reserve margins dropped sharply, and the extent of the decline was unexpected.  Many market participants were caught off guard.  The absolute decline in reserve margins and the unexpectedness of that decline in reserve margins led to the extreme volatility and sharply higher peak prices.  These results reflect a properly working wholesale market and are not evidence of unjust and unreasonable rates.</w:t>
      </w:r>
    </w:p>
    <w:p>
      <w:pPr>
        <w:pStyle w:val="Normal"/>
        <w:rPr/>
      </w:pPr>
      <w:r>
        <w:rPr>
          <w:sz w:val="24"/>
          <w:lang w:eastAsia="en-US"/>
        </w:rPr>
        <w:tab/>
        <w:t>3.</w:t>
        <w:tab/>
      </w:r>
      <w:r>
        <w:rPr>
          <w:rFonts w:cs="Galliard" w:ascii="Galliard" w:hAnsi="Galliard"/>
          <w:sz w:val="24"/>
          <w:u w:val="single"/>
          <w:lang w:eastAsia="en-US"/>
        </w:rPr>
        <w:t>California electricity prices reflected opportunity costs and market expectations of suppliers</w:t>
      </w:r>
    </w:p>
    <w:p>
      <w:pPr>
        <w:pStyle w:val="Normal"/>
        <w:spacing w:lineRule="auto" w:line="480"/>
        <w:rPr>
          <w:rFonts w:ascii="Galliard" w:hAnsi="Galliard" w:cs="Galliard"/>
          <w:sz w:val="24"/>
          <w:lang w:eastAsia="en-US"/>
        </w:rPr>
      </w:pPr>
      <w:r>
        <w:rPr>
          <w:rFonts w:cs="Galliard" w:ascii="Galliard" w:hAnsi="Galliard"/>
          <w:sz w:val="24"/>
          <w:lang w:eastAsia="en-US"/>
        </w:rPr>
        <w:t xml:space="preserve">Because suppliers of electricity often can sell into different markets, they must make choices between them.  By bidding into one market, a supplier foregoes other opportunities; hence the recognition that the supplier’s bids will take into account the opportunities it no longer has to bid into alternative markets.  The foregone opportunities represent opportunity costs.  A rational bidder, therefore, will estimate the expected highest clearing price of the various available markets and use those estimates as the basis for bids in all the markets.  Such rational behavior has two consequences: first, bids will often be above variable costs, especially in times of actual or anticipated scarcity, and second, bids will sometimes be too high in the selected market, causing the bids to be rejected.  </w:t>
      </w:r>
    </w:p>
    <w:p>
      <w:pPr>
        <w:pStyle w:val="Normal"/>
        <w:spacing w:lineRule="auto" w:line="480"/>
        <w:rPr>
          <w:rFonts w:ascii="Galliard" w:hAnsi="Galliard" w:cs="Galliard"/>
          <w:sz w:val="24"/>
          <w:lang w:eastAsia="en-US"/>
        </w:rPr>
      </w:pPr>
      <w:r>
        <w:rPr>
          <w:rFonts w:cs="Galliard" w:ascii="Galliard" w:hAnsi="Galliard"/>
          <w:sz w:val="24"/>
          <w:lang w:eastAsia="en-US"/>
        </w:rPr>
        <w:t>In the case of California’s competitive wholesale electricity markets, suppliers face three significant types of opportunity costs: (1) geographic, (2) product, and (3) temporal.  When these opportunity costs are analyzed for the summer of 2000, the resulting levels of summer 2000 wholesale prices in California do not justify a finding that they were unjust and unreasonable.</w:t>
      </w:r>
    </w:p>
    <w:p>
      <w:pPr>
        <w:pStyle w:val="Normal"/>
        <w:spacing w:lineRule="auto" w:line="480"/>
        <w:rPr>
          <w:rFonts w:ascii="Galliard" w:hAnsi="Galliard" w:cs="Galliard"/>
          <w:sz w:val="24"/>
          <w:lang w:eastAsia="en-US"/>
        </w:rPr>
      </w:pPr>
      <w:r>
        <w:rPr>
          <w:rFonts w:cs="Galliard" w:ascii="Galliard" w:hAnsi="Galliard"/>
          <w:sz w:val="24"/>
          <w:lang w:eastAsia="en-US"/>
        </w:rPr>
        <w:t>The interconnected Western regional market provides California suppliers with opportunities to enter into bilateral contracts, sell into California markets, or into neighboring markets.  In the summer of 2000, prices in California at NP-15 and SP-15 were no higher, on average and at peak, than prices in bilateral markets or neighboring markets, such as COB, Palo Verde and Mid-Columbia.  The Staff Report shows high correlations between California and all of the Western on-peak prices, as well as between bilateral prices at NP-15 and SP-15 and PX prices.</w:t>
      </w:r>
      <w:r>
        <w:rPr>
          <w:rFonts w:cs="Galliard" w:ascii="Galliard" w:hAnsi="Galliard"/>
          <w:sz w:val="18"/>
          <w:vertAlign w:val="superscript"/>
          <w:lang w:eastAsia="en-US"/>
        </w:rPr>
        <w:t>38</w:t>
      </w:r>
      <w:r>
        <w:rPr>
          <w:rFonts w:cs="Galliard" w:ascii="Galliard" w:hAnsi="Galliard"/>
          <w:sz w:val="24"/>
          <w:lang w:eastAsia="en-US"/>
        </w:rPr>
        <w:t xml:space="preserve">  The PX Report compares average monthly prices and finds the same correlation.  Indeed, the average monthly prices reported in the PX Report show that NP-15 prices were lower than COB prices, and SP-15 prices were lower than Palo Verde prices in each of May, June and July.</w:t>
      </w:r>
      <w:r>
        <w:rPr>
          <w:rFonts w:cs="Galliard" w:ascii="Galliard" w:hAnsi="Galliard"/>
          <w:sz w:val="18"/>
          <w:vertAlign w:val="superscript"/>
          <w:lang w:eastAsia="en-US"/>
        </w:rPr>
        <w:t>39</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There is no suggestion in either the Staff Report or the PX Report that California suppliers exercised market power in the COB and Palo Verde markets.  There is also ample evidence that Western regions outside California faced supply and demand fundamentals that drove wholesale electric prices in those regions substantially higher over the course of the summer of 2000.  Therefore, California electricity prices can be explained by the locational opportunity costs present during the summer of 2000.    </w:t>
      </w:r>
    </w:p>
    <w:p>
      <w:pPr>
        <w:pStyle w:val="Normal"/>
        <w:spacing w:lineRule="auto" w:line="480"/>
        <w:rPr>
          <w:rFonts w:ascii="Galliard" w:hAnsi="Galliard" w:cs="Galliard"/>
          <w:sz w:val="24"/>
          <w:lang w:eastAsia="en-US"/>
        </w:rPr>
      </w:pPr>
      <w:r>
        <w:rPr>
          <w:rFonts w:cs="Galliard" w:ascii="Galliard" w:hAnsi="Galliard"/>
          <w:sz w:val="24"/>
          <w:lang w:eastAsia="en-US"/>
        </w:rPr>
        <w:t>The Staff Report and PX Report describe the considerable strategic choices available to California generation with respect to energy or ancillary services markets.  Generators with appropriate ramp rates have options of participating in the day-ahead energy market or the replacement reserves market (with attendant opportunity to earn real-time energy prices if called).  Both Reports recognize that bidders into either market take into account opportunity costs in the other.  During the course of the summer, CAISO price caps established limits on replacement reserve prices and real-time energy.  During  the periods that both caps were applicable, ancillary services prices were allowed to total $350/MWh during certain high-demand periods.  Presumably, such “at the cap” prices were deemed just and reasonable in such periods of scarcity.  As such, these just and reasonable opportunities in the reserves and real time markets established an alternative for bidders into the day-ahead energy market.  There is no evidence of any pattern of day-ahead energy prices topping out at $350/MWh, despite the justification of evident opportunity costs during high-demand periods.</w:t>
      </w:r>
      <w:r>
        <w:rPr>
          <w:rFonts w:cs="Galliard" w:ascii="Galliard" w:hAnsi="Galliard"/>
          <w:sz w:val="18"/>
          <w:vertAlign w:val="superscript"/>
          <w:lang w:eastAsia="en-US"/>
        </w:rPr>
        <w:t>40</w:t>
      </w:r>
      <w:r>
        <w:rPr>
          <w:rFonts w:cs="Galliard" w:ascii="Galliard" w:hAnsi="Galliard"/>
          <w:sz w:val="24"/>
          <w:lang w:eastAsia="en-US"/>
        </w:rPr>
        <w:t xml:space="preserve">  Indeed, the PX Report finds that the PX and CAISO markets were not easily arbitraged during the summer of 2000.</w:t>
      </w:r>
      <w:r>
        <w:rPr>
          <w:rFonts w:cs="Galliard" w:ascii="Galliard" w:hAnsi="Galliard"/>
          <w:sz w:val="18"/>
          <w:vertAlign w:val="superscript"/>
          <w:lang w:eastAsia="en-US"/>
        </w:rPr>
        <w:t>41</w:t>
      </w:r>
    </w:p>
    <w:p>
      <w:pPr>
        <w:pStyle w:val="Normal"/>
        <w:spacing w:lineRule="auto" w:line="480"/>
        <w:rPr/>
      </w:pPr>
      <w:r>
        <w:rPr>
          <w:rFonts w:cs="Galliard" w:ascii="Galliard" w:hAnsi="Galliard"/>
          <w:sz w:val="24"/>
          <w:lang w:eastAsia="en-US"/>
        </w:rPr>
        <w:t>Some California generators also face temporal opportunities over the course of each year.  Environmental limitations on output and possible gas curtailments restrict availability and require generators to determine which opportunities are the most promising for earning margins while using up scarce environmental credits or rights.  Duke Energy’s South Bay facility in San Diego faces three types of restrictions on annual output: fixed environmental allowances that are not traded,</w:t>
      </w:r>
      <w:r>
        <w:rPr>
          <w:rFonts w:cs="Galliard" w:ascii="Galliard" w:hAnsi="Galliard"/>
          <w:sz w:val="18"/>
          <w:vertAlign w:val="superscript"/>
          <w:lang w:eastAsia="en-US"/>
        </w:rPr>
        <w:t>42</w:t>
      </w:r>
      <w:r>
        <w:rPr>
          <w:rFonts w:cs="Galliard" w:ascii="Galliard" w:hAnsi="Galliard"/>
          <w:sz w:val="24"/>
          <w:lang w:eastAsia="en-US"/>
        </w:rPr>
        <w:t xml:space="preserve"> cooling water thermal discharge limits, and tight gas supplies that have occasioned curtailment by SDG&amp;E.  Each of these limits requires a calculus of bidding strategies that weigh opportunities to earn margins at any one time against opportunities that may be foregone at other times, when the restrictions might bind.  </w:t>
      </w:r>
    </w:p>
    <w:p>
      <w:pPr>
        <w:pStyle w:val="Normal"/>
        <w:spacing w:lineRule="auto" w:line="480"/>
        <w:rPr/>
      </w:pPr>
      <w:r>
        <w:rPr>
          <w:rFonts w:cs="Galliard" w:ascii="Galliard" w:hAnsi="Galliard"/>
          <w:sz w:val="24"/>
          <w:lang w:eastAsia="en-US"/>
        </w:rPr>
        <w:t>In recognizing opportunity costs in the Proposed Order, the Commission implicitly recognizes that bidding strategies, and, by extension, prices, are just and reasonable when based on market pricing rather than costs.  Even though opportunity costs are described as “costs,” they are actually a market participant’s expectation about what market prices will be.  A supplier’s expectations about these market prices, therefore, and not simply the intended recovery of its fixed and/or variable, or marginal costs, should be the touchstone of any standard for assessing whether bidding strategies or the resulting market prices are just and reasonable.</w:t>
      </w:r>
      <w:r>
        <w:rPr>
          <w:rFonts w:cs="Galliard" w:ascii="Galliard" w:hAnsi="Galliard"/>
          <w:sz w:val="18"/>
          <w:vertAlign w:val="superscript"/>
          <w:lang w:eastAsia="en-US"/>
        </w:rPr>
        <w:t>43</w:t>
      </w:r>
      <w:r>
        <w:rPr>
          <w:rFonts w:cs="Galliard" w:ascii="Galliard" w:hAnsi="Galliard"/>
          <w:sz w:val="24"/>
          <w:lang w:eastAsia="en-US"/>
        </w:rPr>
        <w:t xml:space="preserve">  By the same token, if a market participant cannot sustain influence over the market prices upon which it bases its expectations of opportunity costs, both its bidding strategies and the resulting prices should be presumptively just and reasonable.</w:t>
      </w:r>
    </w:p>
    <w:p>
      <w:pPr>
        <w:pStyle w:val="Normal"/>
        <w:rPr/>
      </w:pPr>
      <w:r>
        <w:rPr>
          <w:sz w:val="24"/>
          <w:lang w:eastAsia="en-US"/>
        </w:rPr>
        <w:tab/>
        <w:t>4.</w:t>
        <w:tab/>
      </w:r>
      <w:r>
        <w:rPr>
          <w:rFonts w:cs="Galliard" w:ascii="Galliard" w:hAnsi="Galliard"/>
          <w:sz w:val="24"/>
          <w:u w:val="single"/>
          <w:lang w:eastAsia="en-US"/>
        </w:rPr>
        <w:t>The Cumulative Effect Of Market Fundamentals Was That Suppliers Properly Realized Substantial Scarcity Rents During The Summer Of 2000</w:t>
      </w:r>
    </w:p>
    <w:p>
      <w:pPr>
        <w:pStyle w:val="Normal"/>
        <w:spacing w:lineRule="auto" w:line="480"/>
        <w:rPr>
          <w:rFonts w:ascii="Galliard" w:hAnsi="Galliard" w:cs="Galliard"/>
          <w:sz w:val="24"/>
          <w:lang w:eastAsia="en-US"/>
        </w:rPr>
      </w:pPr>
      <w:r>
        <w:rPr>
          <w:rFonts w:cs="Galliard" w:ascii="Galliard" w:hAnsi="Galliard"/>
          <w:sz w:val="24"/>
          <w:lang w:eastAsia="en-US"/>
        </w:rPr>
        <w:t>When total demand for energy and reserves is expected to meet or exceed available supplies, prices in competitive markets are likely to be determined not by any supplier’s costs (either variable production or opportunity costs) but by the value placed on the electricity by load.  Where demand is relatively price inelastic, as is the case with electricity, scarcity rents are naturally substantial.  These scarcity rents occur in any competitive market where supply is scarce and demand is price inelastic.  The realization of scarcity rents does not imply the existence or exercise of market power.  Nor should the occurrence of scarcity rents be viewed as an indication of market failure, but rather as a signal of the value associated with the shortfall in supply.</w:t>
      </w:r>
    </w:p>
    <w:p>
      <w:pPr>
        <w:pStyle w:val="Normal"/>
        <w:spacing w:lineRule="auto" w:line="480"/>
        <w:rPr>
          <w:rFonts w:ascii="Galliard" w:hAnsi="Galliard" w:cs="Galliard"/>
          <w:sz w:val="24"/>
          <w:lang w:eastAsia="en-US"/>
        </w:rPr>
      </w:pPr>
      <w:r>
        <w:rPr>
          <w:rFonts w:cs="Galliard" w:ascii="Galliard" w:hAnsi="Galliard"/>
          <w:sz w:val="24"/>
          <w:lang w:eastAsia="en-US"/>
        </w:rPr>
        <w:t>Scarcity rents create an expectation of value for new supply and, hence, encourage new entry.  In competitive markets where new entrants require a substantial start-up period, such as in the permitting and building of new power plants, there will not be a perfect correlation between the level of scarcity rents at any point in time and the expected cost of new investment, including return on the investment.  New entrants may seek front-loaded scarcity rents in expectation that eventually high rents will attract sufficient new investment to drive prices down.  Thus, prices that reflect scarcity rents may exceed the all-in, level-amortized cost of new generation.  Given that California investment in new generation has badly lagged for a number of years, extremely high scarcity rents for the summer of 2000 can be explained by these normal and desirable economic forces, without implying exercise of market power.  In sum, substantial scarcity rents do not imply unjust and unreasonable prices.</w:t>
      </w:r>
    </w:p>
    <w:p>
      <w:pPr>
        <w:pStyle w:val="Normal"/>
        <w:rPr/>
      </w:pPr>
      <w:r>
        <w:rPr>
          <w:sz w:val="24"/>
          <w:lang w:eastAsia="en-US"/>
        </w:rPr>
        <w:tab/>
        <w:t>B.</w:t>
        <w:tab/>
      </w:r>
      <w:r>
        <w:rPr>
          <w:rFonts w:cs="Galliard" w:ascii="Galliard" w:hAnsi="Galliard"/>
          <w:sz w:val="24"/>
          <w:u w:val="single"/>
          <w:lang w:eastAsia="en-US"/>
        </w:rPr>
        <w:t xml:space="preserve">There Is No Basis For Finding That There Was Any Improper Exercise Of Market Power During The Summer Of 2000 </w:t>
      </w:r>
    </w:p>
    <w:p>
      <w:pPr>
        <w:pStyle w:val="Normal"/>
        <w:spacing w:lineRule="auto" w:line="480"/>
        <w:rPr/>
      </w:pPr>
      <w:r>
        <w:rPr>
          <w:rFonts w:cs="Galliard" w:ascii="Galliard" w:hAnsi="Galliard"/>
          <w:sz w:val="24"/>
          <w:lang w:eastAsia="en-US"/>
        </w:rPr>
        <w:t>The Staff Report examined whether there was any evidence supporting allegations of an improper exercise of market power by suppliers during the summer of 2000, and found no such evidence.</w:t>
      </w:r>
      <w:r>
        <w:rPr>
          <w:rFonts w:cs="Galliard" w:ascii="Galliard" w:hAnsi="Galliard"/>
          <w:sz w:val="18"/>
          <w:vertAlign w:val="superscript"/>
          <w:lang w:eastAsia="en-US"/>
        </w:rPr>
        <w:t>44</w:t>
      </w:r>
      <w:r>
        <w:rPr>
          <w:rFonts w:cs="Galliard" w:ascii="Galliard" w:hAnsi="Galliard"/>
          <w:sz w:val="24"/>
          <w:lang w:eastAsia="en-US"/>
        </w:rPr>
        <w:t xml:space="preserve">  But, in the absence of specific findings of the improper exercise of market power, Duke Energy submits that the market prices obtained by suppliers during the summer of 2000 cannot be found to have been unjust and unreasonable.</w:t>
      </w:r>
      <w:r>
        <w:rPr>
          <w:rFonts w:cs="Galliard" w:ascii="Galliard" w:hAnsi="Galliard"/>
          <w:sz w:val="18"/>
          <w:vertAlign w:val="superscript"/>
          <w:lang w:eastAsia="en-US"/>
        </w:rPr>
        <w:t>45</w:t>
      </w:r>
      <w:r>
        <w:rPr>
          <w:rFonts w:cs="Galliard" w:ascii="Galliard" w:hAnsi="Galliard"/>
          <w:sz w:val="24"/>
          <w:lang w:eastAsia="en-US"/>
        </w:rPr>
        <w:t xml:space="preserve">  The Commission’s final order should confirm this conclusion.    </w:t>
      </w:r>
    </w:p>
    <w:p>
      <w:pPr>
        <w:pStyle w:val="Normal"/>
        <w:spacing w:lineRule="auto" w:line="480"/>
        <w:rPr/>
      </w:pPr>
      <w:r>
        <w:rPr>
          <w:rFonts w:cs="Galliard" w:ascii="Galliard" w:hAnsi="Galliard"/>
          <w:sz w:val="24"/>
          <w:lang w:eastAsia="en-US"/>
        </w:rPr>
        <w:t>The Staff Report and Proposed Order also suggest that market design flaws  in California have the potential of “providing the opportunity for sellers to exercise market power when supplies are tight ... .”</w:t>
      </w:r>
      <w:r>
        <w:rPr>
          <w:rFonts w:cs="Galliard" w:ascii="Galliard" w:hAnsi="Galliard"/>
          <w:sz w:val="18"/>
          <w:vertAlign w:val="superscript"/>
          <w:lang w:eastAsia="en-US"/>
        </w:rPr>
        <w:t>46</w:t>
      </w:r>
      <w:r>
        <w:rPr>
          <w:rFonts w:cs="Galliard" w:ascii="Galliard" w:hAnsi="Galliard"/>
          <w:sz w:val="24"/>
          <w:lang w:eastAsia="en-US"/>
        </w:rPr>
        <w:t xml:space="preserve">  This suggestion has engendered much uncertainty because it neither defines what is meant by the exercise of market power nor explains how any abuses would be detected.  But, regardless of how the Commission might come to resolve these questions, the most that can be said, based on the California record, is that there is the </w:t>
      </w:r>
      <w:r>
        <w:rPr>
          <w:rFonts w:cs="Galliard" w:ascii="Galliard" w:hAnsi="Galliard"/>
          <w:sz w:val="24"/>
          <w:u w:val="single"/>
          <w:lang w:eastAsia="en-US"/>
        </w:rPr>
        <w:t>potential</w:t>
      </w:r>
      <w:r>
        <w:rPr>
          <w:rFonts w:cs="Galliard" w:ascii="Galliard" w:hAnsi="Galliard"/>
          <w:sz w:val="24"/>
          <w:lang w:eastAsia="en-US"/>
        </w:rPr>
        <w:t xml:space="preserve"> for future market power abuse.  Therefore, since no factual foundation of improper exercise, of market power has been laid, there is no basis for the Commission imposing any “remedy” for past conduct, even assuming arguendo that the Commission had such authority in the first place.  Indeed, under these circumstances, the Commission can only act prospectively.</w:t>
      </w:r>
    </w:p>
    <w:p>
      <w:pPr>
        <w:pStyle w:val="Normal"/>
        <w:spacing w:lineRule="auto" w:line="480"/>
        <w:rPr>
          <w:rFonts w:ascii="Galliard" w:hAnsi="Galliard" w:cs="Galliard"/>
          <w:sz w:val="24"/>
          <w:lang w:eastAsia="en-US"/>
        </w:rPr>
      </w:pPr>
      <w:r>
        <w:rPr>
          <w:rFonts w:cs="Galliard" w:ascii="Galliard" w:hAnsi="Galliard"/>
          <w:sz w:val="24"/>
          <w:lang w:eastAsia="en-US"/>
        </w:rPr>
        <w:t xml:space="preserve">Specifically, the Commission has the authority under Section 206 of the Federal Power Act to condition prospectively the exercise of market-based rates upon the modification of flawed market rules.  Taking such action, as the Commission properly proposes to do in its Proposed Order, does not imply, however, that all prices received as a result of compliance with those rules during the summer of 2000 and during prior periods must have been unjust and unreasonable.  </w:t>
      </w:r>
    </w:p>
    <w:p>
      <w:pPr>
        <w:pStyle w:val="Normal"/>
        <w:spacing w:lineRule="auto" w:line="480"/>
        <w:rPr>
          <w:rFonts w:ascii="Galliard" w:hAnsi="Galliard" w:cs="Galliard"/>
          <w:sz w:val="24"/>
          <w:lang w:eastAsia="en-US"/>
        </w:rPr>
      </w:pPr>
      <w:r>
        <w:rPr>
          <w:rFonts w:cs="Galliard" w:ascii="Galliard" w:hAnsi="Galliard"/>
          <w:sz w:val="24"/>
          <w:lang w:eastAsia="en-US"/>
        </w:rPr>
        <w:t>Even if Duke Energy agrees that there were failures by market participants to utilize wholesale market tools, such as forward contracts and hedging mechanisms, this would not be evidence of “market failure,” but only evidence of a failure to take advantage of all that a competitive wholesale market can offer.  Put differently, there was no failure of the Commission-approved wholesale market structure, but only a failure of the California legislature and CPUC to allow all market participants to avail themselves of market opportunities.  That the load-serving utilities participated in the wholesale market as if one arm was tied behind their backs, does not mean that the market failed, but only that rules and practices severely handicapped some of the market participants.</w:t>
      </w:r>
    </w:p>
    <w:p>
      <w:pPr>
        <w:pStyle w:val="Normal"/>
        <w:spacing w:lineRule="auto" w:line="480"/>
        <w:rPr>
          <w:rFonts w:ascii="Galliard" w:hAnsi="Galliard" w:cs="Galliard"/>
          <w:sz w:val="24"/>
          <w:lang w:eastAsia="en-US"/>
        </w:rPr>
      </w:pPr>
      <w:r>
        <w:rPr>
          <w:rFonts w:cs="Galliard" w:ascii="Galliard" w:hAnsi="Galliard"/>
          <w:sz w:val="24"/>
          <w:lang w:eastAsia="en-US"/>
        </w:rPr>
        <w:t xml:space="preserve">In any event, the Commission should clarify in its final order that, even if wholesale prices can be said to have resulted from flawed market structures and rules — which we do not suggest was the case — these prices were not per se unjust and unreasonable, and could be found unjust and unreasonable only upon convincing evidence of the improper exercise of market power.  </w:t>
      </w:r>
    </w:p>
    <w:p>
      <w:pPr>
        <w:pStyle w:val="Normal"/>
        <w:spacing w:lineRule="auto" w:line="480"/>
        <w:rPr>
          <w:rFonts w:ascii="Galliard" w:hAnsi="Galliard" w:cs="Galliard"/>
          <w:sz w:val="24"/>
          <w:lang w:eastAsia="en-US"/>
        </w:rPr>
      </w:pPr>
      <w:r>
        <w:rPr>
          <w:rFonts w:cs="Galliard" w:ascii="Galliard" w:hAnsi="Galliard"/>
          <w:sz w:val="24"/>
          <w:lang w:eastAsia="en-US"/>
        </w:rPr>
        <w:t>It is critical for the Commission to draw the necessary distinction between flawed market structures and rules, which can develop in any transition market, and unjust and unreasonable prices clearly resulting from the improper exercise of market power.  By reinforcing this distinction in the final order, the Commission will eliminate the unjustified implication of its Proposed Order that prices during the summer of 2000 must have been unjust and unreasonable, if the underlying market structures and rules are found to have been flawed and subject to modification.  Since the Commission has already found that there was no convincing evidence of any exercise, let alone abuse, of market power, prices overall during the summer of 2000 should not be deemed to have been unjust and unreasonable.</w:t>
      </w:r>
    </w:p>
    <w:p>
      <w:pPr>
        <w:pStyle w:val="Normal"/>
        <w:spacing w:lineRule="auto" w:line="480"/>
        <w:rPr/>
      </w:pPr>
      <w:r>
        <w:rPr>
          <w:rFonts w:cs="Galliard" w:ascii="Galliard" w:hAnsi="Galliard"/>
          <w:sz w:val="24"/>
          <w:lang w:eastAsia="en-US"/>
        </w:rPr>
        <w:t>The Staff Report correctly applies Commission precedent and defines market power as “the ability of a seller to influence market outcomes, especially the market price, for a sustained period.”</w:t>
      </w:r>
      <w:r>
        <w:rPr>
          <w:rFonts w:cs="Galliard" w:ascii="Galliard" w:hAnsi="Galliard"/>
          <w:sz w:val="18"/>
          <w:vertAlign w:val="superscript"/>
          <w:lang w:eastAsia="en-US"/>
        </w:rPr>
        <w:t>47</w:t>
      </w:r>
      <w:r>
        <w:rPr>
          <w:rFonts w:cs="Galliard" w:ascii="Galliard" w:hAnsi="Galliard"/>
          <w:sz w:val="24"/>
          <w:lang w:eastAsia="en-US"/>
        </w:rPr>
        <w:t xml:space="preserve">  Generally, such market power is exercised through physically withholding some output (thereby contracting supply), by erecting barriers to entry, or by otherwise abusing one’s market position.</w:t>
      </w:r>
      <w:r>
        <w:rPr>
          <w:rFonts w:cs="Galliard" w:ascii="Galliard" w:hAnsi="Galliard"/>
          <w:sz w:val="18"/>
          <w:vertAlign w:val="superscript"/>
          <w:lang w:eastAsia="en-US"/>
        </w:rPr>
        <w:t>48</w:t>
      </w:r>
      <w:r>
        <w:rPr>
          <w:rFonts w:cs="Galliard" w:ascii="Galliard" w:hAnsi="Galliard"/>
          <w:sz w:val="24"/>
          <w:lang w:eastAsia="en-US"/>
        </w:rPr>
        <w:t xml:space="preserve">  The Staff Report departs from precedent, however, in suggesting that sellers exercise market power either by withholding output or “by offering their capacity at prices above competitive levels.”</w:t>
      </w:r>
      <w:r>
        <w:rPr>
          <w:rFonts w:cs="Galliard" w:ascii="Galliard" w:hAnsi="Galliard"/>
          <w:sz w:val="18"/>
          <w:vertAlign w:val="superscript"/>
          <w:lang w:eastAsia="en-US"/>
        </w:rPr>
        <w:t>49</w:t>
      </w:r>
      <w:r>
        <w:rPr>
          <w:rFonts w:cs="Galliard" w:ascii="Galliard" w:hAnsi="Galliard"/>
          <w:sz w:val="24"/>
          <w:lang w:eastAsia="en-US"/>
        </w:rPr>
        <w:t xml:space="preserve">  Existing precedent does not support the view that market power can be found simply because offered prices, or bids, were above levels that the Commission might somehow determine to be “competitive levels” according to unspecified standards.  </w:t>
      </w:r>
    </w:p>
    <w:p>
      <w:pPr>
        <w:pStyle w:val="Normal"/>
        <w:spacing w:lineRule="auto" w:line="480"/>
        <w:rPr/>
      </w:pPr>
      <w:r>
        <w:rPr>
          <w:rFonts w:cs="Galliard" w:ascii="Galliard" w:hAnsi="Galliard"/>
          <w:sz w:val="24"/>
          <w:lang w:eastAsia="en-US"/>
        </w:rPr>
        <w:t xml:space="preserve">The Commission has no standards, nor should it undertake to devise any, for determining the level that prices </w:t>
      </w:r>
      <w:r>
        <w:rPr>
          <w:rFonts w:cs="Galliard" w:ascii="Galliard" w:hAnsi="Galliard"/>
          <w:sz w:val="24"/>
          <w:u w:val="single"/>
          <w:lang w:eastAsia="en-US"/>
        </w:rPr>
        <w:t>should</w:t>
      </w:r>
      <w:r>
        <w:rPr>
          <w:rFonts w:cs="Galliard" w:ascii="Galliard" w:hAnsi="Galliard"/>
          <w:sz w:val="24"/>
          <w:lang w:eastAsia="en-US"/>
        </w:rPr>
        <w:t xml:space="preserve"> reach in a competitive market or in a market in which market power is not improperly exercised.  The implication in the Staff Report that there are such standards is unsupported and unadministrable.  The only standard that the Staff Report presents for determining the “competitive level” of prices, from which the improper exercise of market power would be deduced, is “the standard of bidding above marginal cost.”</w:t>
      </w:r>
      <w:r>
        <w:rPr>
          <w:rFonts w:cs="Galliard" w:ascii="Galliard" w:hAnsi="Galliard"/>
          <w:sz w:val="18"/>
          <w:vertAlign w:val="superscript"/>
          <w:lang w:eastAsia="en-US"/>
        </w:rPr>
        <w:t>50</w:t>
      </w:r>
      <w:r>
        <w:rPr>
          <w:rFonts w:cs="Galliard" w:ascii="Galliard" w:hAnsi="Galliard"/>
          <w:sz w:val="24"/>
          <w:lang w:eastAsia="en-US"/>
        </w:rPr>
        <w:t xml:space="preserve">  Quite simply, though, there is no legal precedent declaring marginal cost to be the standard for determining whether prices are “competitive” or that treats bids above marginal costs (even if including opportunity costs) as evidence of the improper exercise of market power.</w:t>
      </w:r>
      <w:r>
        <w:rPr>
          <w:rFonts w:cs="Galliard" w:ascii="Galliard" w:hAnsi="Galliard"/>
          <w:sz w:val="18"/>
          <w:vertAlign w:val="superscript"/>
          <w:lang w:eastAsia="en-US"/>
        </w:rPr>
        <w:t xml:space="preserve"> 51</w:t>
      </w:r>
      <w:r>
        <w:rPr>
          <w:rFonts w:cs="Galliard" w:ascii="Galliard" w:hAnsi="Galliard"/>
          <w:sz w:val="24"/>
          <w:lang w:eastAsia="en-US"/>
        </w:rPr>
        <w:t xml:space="preserve">  Scarcity rents, expectations of market prices, unexpected changes in market fundamentals, and market rules all provide independent justification for bids above marginal costs.  </w:t>
      </w:r>
    </w:p>
    <w:p>
      <w:pPr>
        <w:pStyle w:val="Normal"/>
        <w:spacing w:lineRule="auto" w:line="480"/>
        <w:rPr>
          <w:rFonts w:ascii="Galliard" w:hAnsi="Galliard" w:cs="Galliard"/>
          <w:sz w:val="24"/>
          <w:lang w:eastAsia="en-US"/>
        </w:rPr>
      </w:pPr>
      <w:r>
        <w:rPr>
          <w:rFonts w:cs="Galliard" w:ascii="Galliard" w:hAnsi="Galliard"/>
          <w:sz w:val="24"/>
          <w:lang w:eastAsia="en-US"/>
        </w:rPr>
        <w:t>The Staff Report’s implied suggestions that there is a determinable “competitive level” of prices for a market overall, and that market clearing prices in excess of such level are indicative of the improper exercise of market power by unidentified sellers, are also unsupported and unadministrable.  The whole point of allowing market-based rates to supplant cost-based regulation is that the Commission need not determine competitive levels of prices.  While the Commission assesses whether market structures and rules are conducive to meaningful or “workable” competition, the Commission does not jump to the end result and determine whether there has been meaningful competition by the level of prices produced.</w:t>
      </w:r>
    </w:p>
    <w:p>
      <w:pPr>
        <w:pStyle w:val="Normal"/>
        <w:spacing w:lineRule="auto" w:line="480"/>
        <w:rPr/>
      </w:pPr>
      <w:r>
        <w:rPr>
          <w:rFonts w:cs="Galliard" w:ascii="Galliard" w:hAnsi="Galliard"/>
          <w:sz w:val="24"/>
          <w:lang w:eastAsia="en-US"/>
        </w:rPr>
        <w:t>It is virtually certain that if the Commission were to adopt the suggestion that prices in excess of “competitive levels” or in excess of “marginal costs” are evidence of the improper exercise of market power or of unjust and unreasonable rates, this would result in enormous market uncertainty, numerous contested Commission proceedings, and other forms of litigation.  Parties would seek to upset not only the market outcomes realized in California bulk power markets this past summer but future market outcomes as well.  The Commission can forestall these results by clarifying two points:  First, the proper legal standard for finding the improper exercise of market power by an individual seller or sellers acting in concert is whether there is conclusive evidence that it or they have influenced market prices for a sustained period by withholding output, erecting barriers to entry, or otherwise abusing market position.</w:t>
      </w:r>
      <w:r>
        <w:rPr>
          <w:rFonts w:cs="Galliard" w:ascii="Galliard" w:hAnsi="Galliard"/>
          <w:sz w:val="18"/>
          <w:vertAlign w:val="superscript"/>
          <w:lang w:eastAsia="en-US"/>
        </w:rPr>
        <w:t>52</w:t>
      </w:r>
      <w:r>
        <w:rPr>
          <w:rFonts w:cs="Galliard" w:ascii="Galliard" w:hAnsi="Galliard"/>
          <w:sz w:val="24"/>
          <w:lang w:eastAsia="en-US"/>
        </w:rPr>
        <w:t xml:space="preserve">  Second, based on the record before it pertaining to the California bulk power market in the summer of 2000, there is no evidence that an individual seller or sellers acting in concert systematically withheld power, excluded competitors, or improperly exercised market power. </w:t>
      </w:r>
    </w:p>
    <w:p>
      <w:pPr>
        <w:pStyle w:val="Normal"/>
        <w:spacing w:lineRule="auto" w:line="480"/>
        <w:rPr/>
      </w:pPr>
      <w:r>
        <w:rPr>
          <w:rFonts w:cs="Galliard" w:ascii="Galliard" w:hAnsi="Galliard"/>
          <w:sz w:val="24"/>
          <w:lang w:eastAsia="en-US"/>
        </w:rPr>
        <w:t>The Staff Report investigated extensive data on capacity utilization of individual plants by the CAISO to determine whether there was evidence of withholding, which would have been indicative of market power.  The Staff Report finds that for non must-take facilities, “only 2.7 percent [of capacity] were not scheduled or bid.”</w:t>
      </w:r>
      <w:r>
        <w:rPr>
          <w:rFonts w:cs="Galliard" w:ascii="Galliard" w:hAnsi="Galliard"/>
          <w:sz w:val="18"/>
          <w:vertAlign w:val="superscript"/>
          <w:lang w:eastAsia="en-US"/>
        </w:rPr>
        <w:t>53</w:t>
      </w:r>
      <w:r>
        <w:rPr>
          <w:rFonts w:cs="Galliard" w:ascii="Galliard" w:hAnsi="Galliard"/>
          <w:sz w:val="24"/>
          <w:lang w:eastAsia="en-US"/>
        </w:rPr>
        <w:t xml:space="preserve">  For one category of thermal plants where the owner has the discretion to bid or schedule the unit without bidding, the Staff Report finds 8.7 percent of capacity was not scheduled.  However, the Staff Report found that: “[t]his quantity may represent owners holding back capacity to use if other scheduled units have outages, but it is not clear whether this is the reason or not.  In any case, this quantity is a small amount of the total capacity neither scheduled nor bid, and </w:t>
      </w:r>
      <w:r>
        <w:rPr>
          <w:rFonts w:cs="Galliard" w:ascii="Galliard" w:hAnsi="Galliard"/>
          <w:i/>
          <w:sz w:val="24"/>
          <w:lang w:eastAsia="en-US"/>
        </w:rPr>
        <w:t>does not suggest a large amount of withholding, regardless of the intent underlying the failure to schedule the capacity</w:t>
      </w:r>
      <w:r>
        <w:rPr>
          <w:rFonts w:cs="Galliard" w:ascii="Galliard" w:hAnsi="Galliard"/>
          <w:sz w:val="24"/>
          <w:lang w:eastAsia="en-US"/>
        </w:rPr>
        <w:t>.”</w:t>
      </w:r>
      <w:r>
        <w:rPr>
          <w:rFonts w:cs="Galliard" w:ascii="Galliard" w:hAnsi="Galliard"/>
          <w:sz w:val="18"/>
          <w:vertAlign w:val="superscript"/>
          <w:lang w:eastAsia="en-US"/>
        </w:rPr>
        <w:t>54</w:t>
      </w:r>
      <w:r>
        <w:rPr>
          <w:rFonts w:cs="Galliard" w:ascii="Galliard" w:hAnsi="Galliard"/>
          <w:sz w:val="24"/>
          <w:lang w:eastAsia="en-US"/>
        </w:rPr>
        <w:t xml:space="preserve">  </w:t>
      </w:r>
    </w:p>
    <w:p>
      <w:pPr>
        <w:pStyle w:val="Normal"/>
        <w:spacing w:lineRule="auto" w:line="480"/>
        <w:rPr>
          <w:rFonts w:ascii="Galliard" w:hAnsi="Galliard" w:cs="Galliard"/>
          <w:sz w:val="24"/>
          <w:lang w:eastAsia="en-US"/>
        </w:rPr>
      </w:pPr>
      <w:r>
        <w:rPr>
          <w:rFonts w:cs="Galliard" w:ascii="Galliard" w:hAnsi="Galliard"/>
          <w:sz w:val="24"/>
          <w:lang w:eastAsia="en-US"/>
        </w:rPr>
        <w:t>Specifically, the Staff Report concluded:</w:t>
      </w:r>
    </w:p>
    <w:p>
      <w:pPr>
        <w:pStyle w:val="Normal"/>
        <w:rPr/>
      </w:pPr>
      <w:r>
        <w:rPr>
          <w:rFonts w:cs="Galliard" w:ascii="Galliard" w:hAnsi="Galliard"/>
          <w:i/>
          <w:sz w:val="24"/>
          <w:lang w:eastAsia="en-US"/>
        </w:rPr>
        <w:t>Examination of bid patterns in the PX and ISO replacement reserve markets and a review of ISO out of market purchase activity does not suggest substantial or sustained attempts to manipulate prices in these markets</w:t>
      </w:r>
      <w:r>
        <w:rPr>
          <w:rFonts w:cs="Galliard" w:ascii="Galliard" w:hAnsi="Galliard"/>
          <w:sz w:val="24"/>
          <w:lang w:eastAsia="en-US"/>
        </w:rPr>
        <w:t>.  Supply curves bid into the PX show higher bids, on average when the price caps are lowered.  However, the increases are not correlated with particular classes of bidders, suggesting that the pattern may reflect increased costs for most participants rather than a pattern of individual bidders or classes of bidders attempting to raise prices intentionally.</w:t>
      </w:r>
      <w:r>
        <w:rPr>
          <w:rFonts w:cs="Galliard" w:ascii="Galliard" w:hAnsi="Galliard"/>
          <w:sz w:val="18"/>
          <w:vertAlign w:val="superscript"/>
          <w:lang w:eastAsia="en-US"/>
        </w:rPr>
        <w:t>55</w:t>
      </w:r>
      <w:r>
        <w:rPr>
          <w:rFonts w:cs="Galliard" w:ascii="Galliard" w:hAnsi="Galliard"/>
          <w:sz w:val="24"/>
          <w:lang w:eastAsia="en-US"/>
        </w:rPr>
        <w:t xml:space="preserve"> </w:t>
      </w:r>
    </w:p>
    <w:p>
      <w:pPr>
        <w:pStyle w:val="Normal"/>
        <w:spacing w:lineRule="auto" w:line="480"/>
        <w:rPr/>
      </w:pPr>
      <w:r>
        <w:rPr>
          <w:rFonts w:cs="Galliard" w:ascii="Galliard" w:hAnsi="Galliard"/>
          <w:sz w:val="24"/>
          <w:lang w:eastAsia="en-US"/>
        </w:rPr>
        <w:t>These findings amply support a conclusion under the aforementioned legal standard that there was no evidence of the improper exercise of market power during the summer of 2000 and, therefore, there can be no basis for concluding that the overall level of prices in bulk power markets during the summer of 2000 was unjust and unreasonable.</w:t>
      </w:r>
      <w:r>
        <w:rPr>
          <w:rFonts w:cs="Galliard" w:ascii="Galliard" w:hAnsi="Galliard"/>
          <w:sz w:val="18"/>
          <w:vertAlign w:val="superscript"/>
          <w:lang w:eastAsia="en-US"/>
        </w:rPr>
        <w:t>56</w:t>
      </w:r>
      <w:r>
        <w:rPr>
          <w:rFonts w:cs="Galliard" w:ascii="Galliard" w:hAnsi="Galliard"/>
          <w:sz w:val="24"/>
          <w:lang w:eastAsia="en-US"/>
        </w:rPr>
        <w:t xml:space="preserve">  Under this proper legal standard, the suggested finding in the Staff Report that there was an exercise of market power “if the standard of bidding above marginal cost is used,”</w:t>
      </w:r>
      <w:r>
        <w:rPr>
          <w:rFonts w:cs="Galliard" w:ascii="Galliard" w:hAnsi="Galliard"/>
          <w:sz w:val="18"/>
          <w:vertAlign w:val="superscript"/>
          <w:lang w:eastAsia="en-US"/>
        </w:rPr>
        <w:t>57</w:t>
      </w:r>
      <w:r>
        <w:rPr>
          <w:rFonts w:cs="Galliard" w:ascii="Galliard" w:hAnsi="Galliard"/>
          <w:sz w:val="24"/>
          <w:lang w:eastAsia="en-US"/>
        </w:rPr>
        <w:t xml:space="preserve"> becomes irrelevant.  In its final order, the Commission should expressly disavow this cost-based standard for determining either a competitive level of prices, or whether market power has been improperly exercised.</w:t>
      </w:r>
    </w:p>
    <w:p>
      <w:pPr>
        <w:pStyle w:val="Normal"/>
        <w:rPr/>
      </w:pPr>
      <w:r>
        <w:rPr>
          <w:sz w:val="24"/>
          <w:lang w:eastAsia="en-US"/>
        </w:rPr>
        <w:tab/>
        <w:t>C.</w:t>
        <w:tab/>
      </w:r>
      <w:r>
        <w:rPr>
          <w:rFonts w:cs="Galliard" w:ascii="Galliard" w:hAnsi="Galliard"/>
          <w:sz w:val="24"/>
          <w:u w:val="single"/>
          <w:lang w:eastAsia="en-US"/>
        </w:rPr>
        <w:t>California Wholesale Price Levels During The Summer Of 2000 Were In Line With Benchmarks Of Just And Reasonable Prices</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These comments have previously demonstrated that market fundamentals, and especially the unexpected deviations in those fundamentals from forecasts, explain the sharp increase in overall price levels and volatility during the summer of 2000.  Individual suppliers’ bids, and resulting prices, are explained by the increase in production costs, expectations of opportunity costs, and conditions normally resulting substantial scarcity rents.  These factors do not imply any exercise of market power, for which no evidence has been found during the summer of 2000.  Nor is there any basis for arguing that the overall price levels, in and of themselves, were so high as to be obviously unjust and unreasonable. In addition to the specific findings cited above from the Staff Report and PX Report, Duke Energy herein offers several benchmark analyses that are not “anecdotal” and that demonstrate how the overall level of this summer’s prices did not exceed levels attained in other markets considered competitive or prices that otherwise would be deemed to be just and reasonable rates.  </w:t>
      </w:r>
    </w:p>
    <w:p>
      <w:pPr>
        <w:pStyle w:val="Normal"/>
        <w:rPr/>
      </w:pPr>
      <w:r>
        <w:rPr>
          <w:sz w:val="24"/>
          <w:lang w:eastAsia="en-US"/>
        </w:rPr>
        <w:tab/>
        <w:t>1.</w:t>
        <w:tab/>
      </w:r>
      <w:r>
        <w:rPr>
          <w:rFonts w:cs="Galliard" w:ascii="Galliard" w:hAnsi="Galliard"/>
          <w:sz w:val="24"/>
          <w:u w:val="single"/>
          <w:lang w:eastAsia="en-US"/>
        </w:rPr>
        <w:t>WSCC price and liquidity benchmark</w:t>
      </w:r>
    </w:p>
    <w:p>
      <w:pPr>
        <w:pStyle w:val="Normal"/>
        <w:spacing w:lineRule="auto" w:line="480"/>
        <w:rPr/>
      </w:pPr>
      <w:r>
        <w:rPr>
          <w:rFonts w:cs="Galliard" w:ascii="Galliard" w:hAnsi="Galliard"/>
          <w:sz w:val="24"/>
          <w:lang w:eastAsia="en-US"/>
        </w:rPr>
        <w:t>The points have already been made that California and WSCC energy markets are closely interconnected and that prices in WSCC markets will directly affect the opportunity costs of California suppliers (and potential exporters to California).  There has been no evidence that California suppliers exert market power over any of the neighboring WSCC markets, all of which have tended to have higher peak and average prices during the summer of 2000 than did California.</w:t>
      </w:r>
      <w:r>
        <w:rPr>
          <w:rFonts w:cs="Galliard" w:ascii="Galliard" w:hAnsi="Galliard"/>
          <w:sz w:val="18"/>
          <w:vertAlign w:val="superscript"/>
          <w:lang w:eastAsia="en-US"/>
        </w:rPr>
        <w:t>58</w:t>
      </w:r>
      <w:r>
        <w:rPr>
          <w:rFonts w:cs="Galliard" w:ascii="Galliard" w:hAnsi="Galliard"/>
          <w:sz w:val="24"/>
          <w:lang w:eastAsia="en-US"/>
        </w:rPr>
        <w:t xml:space="preserve">  </w:t>
      </w:r>
    </w:p>
    <w:p>
      <w:pPr>
        <w:pStyle w:val="Normal"/>
        <w:spacing w:lineRule="auto" w:line="480"/>
        <w:rPr>
          <w:rFonts w:ascii="Galliard" w:hAnsi="Galliard" w:cs="Galliard"/>
          <w:sz w:val="24"/>
          <w:lang w:eastAsia="en-US"/>
        </w:rPr>
      </w:pPr>
      <w:r>
        <w:rPr>
          <w:rFonts w:cs="Galliard" w:ascii="Galliard" w:hAnsi="Galliard"/>
          <w:sz w:val="24"/>
          <w:lang w:eastAsia="en-US"/>
        </w:rPr>
        <w:t>The WSCC, in fact, comprises the most liquid electricity market in the nation, accounting for approximately 40% of wholesale trading volume nationally.  Over 90 active participants trade electricity in the WSCC.  The prevailing liquidity in WSCC markets is strong evidence of their workably competitive nature and the inability of individual participants or a class of participants to sustain influence over prices.  In addition to dispelling any concerns about market power, liquidity implies just and reasonable prices.  After all, the WSCC and California energy markets did not collapse under the weight of this summer’s trading.  Rather, trading intensified, with record transaction volumes.  As documented above, average and peak prices throughout the WSCC exceeded comparable prices in California consistently throughout the summer of 2000.</w:t>
      </w:r>
    </w:p>
    <w:p>
      <w:pPr>
        <w:pStyle w:val="Normal"/>
        <w:spacing w:lineRule="auto" w:line="480"/>
        <w:rPr>
          <w:rFonts w:ascii="Galliard" w:hAnsi="Galliard" w:cs="Galliard"/>
          <w:sz w:val="24"/>
          <w:lang w:eastAsia="en-US"/>
        </w:rPr>
      </w:pPr>
      <w:r>
        <w:rPr>
          <w:rFonts w:cs="Galliard" w:ascii="Galliard" w:hAnsi="Galliard"/>
          <w:sz w:val="24"/>
          <w:lang w:eastAsia="en-US"/>
        </w:rPr>
        <w:t>Thus, to suggest that the California market produces unjust and unreasonable prices, is to suggest that the WSCC itself is prone to the exercise of market power and unjust and unreasonable prices.  Such claims seem far wide of the mark, based on the findings in the Staff Report and the PX Report.</w:t>
      </w:r>
    </w:p>
    <w:p>
      <w:pPr>
        <w:pStyle w:val="Normal"/>
        <w:rPr/>
      </w:pPr>
      <w:r>
        <w:rPr>
          <w:sz w:val="24"/>
          <w:lang w:eastAsia="en-US"/>
        </w:rPr>
        <w:tab/>
        <w:t>2.</w:t>
        <w:tab/>
      </w:r>
      <w:r>
        <w:rPr>
          <w:rFonts w:cs="Galliard" w:ascii="Galliard" w:hAnsi="Galliard"/>
          <w:sz w:val="24"/>
          <w:u w:val="single"/>
          <w:lang w:eastAsia="en-US"/>
        </w:rPr>
        <w:t>The Commission Benchmark Of Acceptable Pricing By A Combined Cycle Plant</w:t>
      </w:r>
    </w:p>
    <w:p>
      <w:pPr>
        <w:pStyle w:val="Normal"/>
        <w:spacing w:lineRule="auto" w:line="480"/>
        <w:rPr/>
      </w:pPr>
      <w:r>
        <w:rPr>
          <w:rFonts w:cs="Galliard" w:ascii="Galliard" w:hAnsi="Galliard"/>
          <w:sz w:val="24"/>
          <w:lang w:eastAsia="en-US"/>
        </w:rPr>
        <w:t>The Proposed Order justifies a potential $150 “soft cap,” in part, by assuming that such a price level would permit a combined cycle unit to earn a reasonable payback of investment over five years were the unit dispatched at that level about one-third of the time.</w:t>
      </w:r>
      <w:r>
        <w:rPr>
          <w:rFonts w:cs="Galliard" w:ascii="Galliard" w:hAnsi="Galliard"/>
          <w:sz w:val="18"/>
          <w:vertAlign w:val="superscript"/>
          <w:lang w:eastAsia="en-US"/>
        </w:rPr>
        <w:t>59</w:t>
      </w:r>
      <w:r>
        <w:rPr>
          <w:rFonts w:cs="Galliard" w:ascii="Galliard" w:hAnsi="Galliard"/>
          <w:sz w:val="24"/>
          <w:lang w:eastAsia="en-US"/>
        </w:rPr>
        <w:t xml:space="preserve">  In making this statement, the Commission implicitly acknowledges that a price of $150/MWh for one-third of the year would be just and reasonable for the California market as a whole.  The highest priced one-third of the hours in the NP-15 PX market during the last 12 months (November, 1999 through October, 2000) only average $132/MWh, which falls below the Commission’s implicit benchmark for a just and reasonable price.  </w:t>
      </w:r>
    </w:p>
    <w:p>
      <w:pPr>
        <w:pStyle w:val="Normal"/>
        <w:spacing w:lineRule="auto" w:line="480"/>
        <w:rPr/>
      </w:pPr>
      <w:r>
        <w:rPr>
          <w:rFonts w:cs="Galliard" w:ascii="Galliard" w:hAnsi="Galliard"/>
          <w:sz w:val="24"/>
          <w:lang w:eastAsia="en-US"/>
        </w:rPr>
        <w:t>The Commission’s numbers further suggest that current forward prices are also below the just and reasonable benchmark.  Since the Commission implicitly acknowledges that a price of $150/MWh for one-third of the hours in a year would be just and reasonable, if prices during the remaining two-thirds of the year were the same as the prices for the lowest two-thirds of the hours in the last twelve months ($33/MWh),</w:t>
      </w:r>
      <w:r>
        <w:rPr>
          <w:rFonts w:cs="Galliard" w:ascii="Galliard" w:hAnsi="Galliard"/>
          <w:sz w:val="18"/>
          <w:vertAlign w:val="superscript"/>
          <w:lang w:eastAsia="en-US"/>
        </w:rPr>
        <w:t>60</w:t>
      </w:r>
      <w:r>
        <w:rPr>
          <w:rFonts w:cs="Galliard" w:ascii="Galliard" w:hAnsi="Galliard"/>
          <w:sz w:val="24"/>
          <w:lang w:eastAsia="en-US"/>
        </w:rPr>
        <w:t xml:space="preserve">the average annual benchmark for just and reasonable price would be $72/MWh.  As described above, Duke Energy has also offered to enter into substantial forward contracts for a five-year term at prices well below $72/MWh. </w:t>
      </w:r>
    </w:p>
    <w:p>
      <w:pPr>
        <w:pStyle w:val="Normal"/>
        <w:spacing w:lineRule="auto" w:line="480"/>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sz w:val="24"/>
          <w:lang w:eastAsia="en-US"/>
        </w:rPr>
        <w:tab/>
        <w:t>3.</w:t>
        <w:tab/>
      </w:r>
      <w:r>
        <w:rPr>
          <w:rFonts w:cs="Galliard" w:ascii="Galliard" w:hAnsi="Galliard"/>
          <w:sz w:val="24"/>
          <w:u w:val="single"/>
          <w:lang w:eastAsia="en-US"/>
        </w:rPr>
        <w:t>New Entrant Peaker Benchmark</w:t>
      </w:r>
    </w:p>
    <w:p>
      <w:pPr>
        <w:pStyle w:val="Normal"/>
        <w:spacing w:lineRule="auto" w:line="480"/>
        <w:rPr/>
      </w:pPr>
      <w:r>
        <w:rPr>
          <w:rFonts w:cs="Galliard" w:ascii="Galliard" w:hAnsi="Galliard"/>
          <w:sz w:val="24"/>
          <w:lang w:eastAsia="en-US"/>
        </w:rPr>
        <w:t>Peak period prices experienced in California during the summer of 2000 are entirely consistent with the level of scarcity rents needed to attract new investment in peaking capacity.  In reaching this conclusion, one should keep in mind that in a competitive market, profits of a new entrant are variable and uncertain and that additional entry in future years can be expected to reduce margins over time.  Accordingly, new entrants in peaking capacity will expect front-loading of returns, well in excess of levelized returns over whatever payback period is assumed.  During the summer months of 2000 (May through September), a new combustion turbine coming onto line would have earned roughly twice its 20-year levelized costs by selling into the day-ahead energy and replacement reserves market.</w:t>
      </w:r>
      <w:r>
        <w:rPr>
          <w:rFonts w:cs="Galliard" w:ascii="Galliard" w:hAnsi="Galliard"/>
          <w:sz w:val="18"/>
          <w:vertAlign w:val="superscript"/>
          <w:lang w:eastAsia="en-US"/>
        </w:rPr>
        <w:t>61</w:t>
      </w:r>
      <w:r>
        <w:rPr>
          <w:rFonts w:cs="Galliard" w:ascii="Galliard" w:hAnsi="Galliard"/>
          <w:sz w:val="24"/>
          <w:lang w:eastAsia="en-US"/>
        </w:rPr>
        <w:t xml:space="preserve">  New entrants will demand such returns; hence the implied prices based upon such expectations are just and reasonable.  </w:t>
      </w:r>
    </w:p>
    <w:p>
      <w:pPr>
        <w:pStyle w:val="Normal"/>
        <w:spacing w:lineRule="auto" w:line="480"/>
        <w:rPr>
          <w:rFonts w:ascii="Galliard" w:hAnsi="Galliard" w:cs="Galliard"/>
          <w:sz w:val="24"/>
          <w:lang w:eastAsia="en-US"/>
        </w:rPr>
      </w:pPr>
      <w:r>
        <w:rPr>
          <w:rFonts w:cs="Galliard" w:ascii="Galliard" w:hAnsi="Galliard"/>
          <w:sz w:val="24"/>
          <w:lang w:eastAsia="en-US"/>
        </w:rPr>
        <w:t xml:space="preserve">To illustrate why rational new entrants will tend to wait until price levels support returns well above levelized costs, consider that a new combustion turbine coming on line in 1998 would have received less than one-half of its 20-year levelized costs by selling into the day-ahead and replacement reserves markets in the summers of 1998 and 1999 (let alone its five or ten-year levelized costs, which the Commission considered reasonable in its benchmark analysis for the soft cap). </w:t>
      </w:r>
    </w:p>
    <w:p>
      <w:pPr>
        <w:pStyle w:val="Normal"/>
        <w:spacing w:lineRule="auto" w:line="480"/>
        <w:rPr>
          <w:rFonts w:ascii="Galliard" w:hAnsi="Galliard" w:cs="Galliard"/>
          <w:sz w:val="24"/>
          <w:lang w:eastAsia="en-US"/>
        </w:rPr>
      </w:pPr>
      <w:r>
        <w:rPr>
          <w:rFonts w:cs="Galliard" w:ascii="Galliard" w:hAnsi="Galliard"/>
          <w:sz w:val="24"/>
          <w:lang w:eastAsia="en-US"/>
        </w:rPr>
        <w:t>Thus, although peak period summer 2000 prices were quite favorable for a hypothetical new peaking unit, even those price levels only permit a level of cost recovery that is twice a 20-year levelized return.  Given uncertainty and the prospect of more new entrants and increased supply driving the price down, such a front-loading of returns is not unjust and unreasonable.</w:t>
      </w:r>
    </w:p>
    <w:p>
      <w:pPr>
        <w:pStyle w:val="Normal"/>
        <w:rPr/>
      </w:pPr>
      <w:r>
        <w:rPr>
          <w:sz w:val="24"/>
          <w:lang w:eastAsia="en-US"/>
        </w:rPr>
        <w:tab/>
        <w:t>4.</w:t>
        <w:tab/>
      </w:r>
      <w:r>
        <w:rPr>
          <w:rFonts w:cs="Galliard" w:ascii="Galliard" w:hAnsi="Galliard"/>
          <w:sz w:val="24"/>
          <w:u w:val="single"/>
          <w:lang w:eastAsia="en-US"/>
        </w:rPr>
        <w:t>Normalized Cost Of Service Rate Benchmark</w:t>
      </w:r>
      <w:r>
        <w:rPr>
          <w:rFonts w:cs="Galliard" w:ascii="Galliard" w:hAnsi="Galliard"/>
          <w:sz w:val="24"/>
          <w:lang w:eastAsia="en-US"/>
        </w:rPr>
        <w:t>.</w:t>
      </w:r>
    </w:p>
    <w:p>
      <w:pPr>
        <w:pStyle w:val="Normal"/>
        <w:spacing w:lineRule="auto" w:line="480"/>
        <w:rPr>
          <w:rFonts w:ascii="Galliard" w:hAnsi="Galliard" w:cs="Galliard"/>
          <w:sz w:val="24"/>
          <w:lang w:eastAsia="en-US"/>
        </w:rPr>
      </w:pPr>
      <w:r>
        <w:rPr>
          <w:rFonts w:cs="Galliard" w:ascii="Galliard" w:hAnsi="Galliard"/>
          <w:sz w:val="24"/>
          <w:lang w:eastAsia="en-US"/>
        </w:rPr>
        <w:t xml:space="preserve">When taken in the context of the entire restructuring period since April 1998, or even in the context of the most recent 12-month period (ending October 31, 2000), California’s wholesale electricity prices, including the price spike of the summer of 2000, are not out of line with what IOUs would have charged had cost of service rates (with normalized gas prices) been continued in lieu of industry restructuring under AB 1890.  Over the 31-month period from April 1998 through October 2000, PX prices have averaged only $42.24.  This average wholesale price is substantially less than what the ISO’s cost of service rates would have been for that same period, with normalized gas costs, and is also less than the energy component embedded n the state-mandated frozen retail rates.  However, retail consumers have not had the benefit of these implicit rate reductions attributable to lower wholesale electricity costs where the state mandated retail rate freeze has been in effect.  Even if one compares the average, wholesale PX price to a normalized cost of service benchmark over the most recent 12 months (November 1999 through October 2000), the average wholesale price in the PX market, including the full effects of this summer’s price increases, is less than what an ISO’s cost of service rates would have been normalized for current gas prices. </w:t>
      </w:r>
    </w:p>
    <w:p>
      <w:pPr>
        <w:pStyle w:val="Normal"/>
        <w:spacing w:lineRule="auto" w:line="480"/>
        <w:rPr>
          <w:rFonts w:ascii="Galliard" w:hAnsi="Galliard" w:cs="Galliard"/>
          <w:sz w:val="24"/>
          <w:lang w:eastAsia="en-US"/>
        </w:rPr>
      </w:pPr>
      <w:r>
        <w:rPr>
          <w:rFonts w:cs="Galliard" w:ascii="Galliard" w:hAnsi="Galliard"/>
          <w:sz w:val="24"/>
          <w:lang w:eastAsia="en-US"/>
        </w:rPr>
        <w:t xml:space="preserve">Over time, as new entrants emerge, as Duke Energy has in proceeding with its recently announced construction of a 1,060 MW unit on an existing site, wholesale prices would be expected to come down considerably, even for similar load curves as were experienced this past summer. </w:t>
      </w:r>
    </w:p>
    <w:p>
      <w:pPr>
        <w:pStyle w:val="Normal"/>
        <w:rPr/>
      </w:pPr>
      <w:r>
        <w:rPr>
          <w:sz w:val="24"/>
          <w:lang w:eastAsia="en-US"/>
        </w:rPr>
        <w:tab/>
        <w:t>D.</w:t>
        <w:tab/>
      </w:r>
      <w:r>
        <w:rPr>
          <w:rFonts w:cs="Galliard" w:ascii="Galliard" w:hAnsi="Galliard"/>
          <w:sz w:val="24"/>
          <w:u w:val="single"/>
          <w:lang w:eastAsia="en-US"/>
        </w:rPr>
        <w:t>The Commission Should Rule Out Retroactive Refunds Or Any Other Kind Of Equitable Rescission Of Transactions</w:t>
      </w:r>
    </w:p>
    <w:p>
      <w:pPr>
        <w:pStyle w:val="Normal"/>
        <w:spacing w:lineRule="auto" w:line="480"/>
        <w:rPr/>
      </w:pPr>
      <w:r>
        <w:rPr>
          <w:rFonts w:cs="Galliard" w:ascii="Galliard" w:hAnsi="Galliard"/>
          <w:sz w:val="24"/>
          <w:lang w:eastAsia="en-US"/>
        </w:rPr>
        <w:t xml:space="preserve">The benchmark analyses bolster the conclusions reached when examining market fundamentals.  Wholesale electricity prices experienced during the summer of 2000 in California, however high and unexpected they were, were not unjust and unreasonable compared to these benchmarks or when taking into account the confluence of supply and demand fundamentals.  Accordingly, no refunds or rescission of market transactions is justified, even assuming </w:t>
      </w:r>
      <w:r>
        <w:rPr>
          <w:rFonts w:cs="Galliard" w:ascii="Galliard" w:hAnsi="Galliard"/>
          <w:i/>
          <w:sz w:val="24"/>
          <w:lang w:eastAsia="en-US"/>
        </w:rPr>
        <w:t>arguendo</w:t>
      </w:r>
      <w:r>
        <w:rPr>
          <w:rFonts w:cs="Galliard" w:ascii="Galliard" w:hAnsi="Galliard"/>
          <w:sz w:val="24"/>
          <w:lang w:eastAsia="en-US"/>
        </w:rPr>
        <w:t xml:space="preserve"> that the Commission or any other legal agency had authority to consider such refunds or rescission. </w:t>
      </w:r>
    </w:p>
    <w:p>
      <w:pPr>
        <w:pStyle w:val="Normal"/>
        <w:spacing w:lineRule="auto" w:line="480"/>
        <w:rPr/>
      </w:pPr>
      <w:r>
        <w:rPr>
          <w:rFonts w:cs="Galliard" w:ascii="Galliard" w:hAnsi="Galliard"/>
          <w:sz w:val="24"/>
          <w:lang w:eastAsia="en-US"/>
        </w:rPr>
        <w:t xml:space="preserve">Of course, the Commission’s legal analysis, presented in Appendix E, correctly concludes that the Commission lacks statutory authority to entertain retroactive claims for refunds relating back to the summer of 2000. </w:t>
      </w:r>
      <w:r>
        <w:rPr>
          <w:rFonts w:cs="Galliard" w:ascii="Galliard" w:hAnsi="Galliard"/>
          <w:sz w:val="18"/>
          <w:vertAlign w:val="superscript"/>
          <w:lang w:eastAsia="en-US"/>
        </w:rPr>
        <w:t>62</w:t>
      </w:r>
      <w:r>
        <w:rPr>
          <w:rFonts w:cs="Galliard" w:ascii="Galliard" w:hAnsi="Galliard"/>
          <w:sz w:val="24"/>
          <w:lang w:eastAsia="en-US"/>
        </w:rPr>
        <w:t xml:space="preserve"> Notwithstanding the weight of authority marshaled in the legal opinion, the Proposed Order expresses the Commission’s willingness to explore any proposal for equitable relief, provided that it mitigate last summer’s financial consequences without stifling investment incentives for new generation.</w:t>
      </w:r>
      <w:r>
        <w:rPr>
          <w:rFonts w:cs="Galliard" w:ascii="Galliard" w:hAnsi="Galliard"/>
          <w:sz w:val="18"/>
          <w:vertAlign w:val="superscript"/>
          <w:lang w:eastAsia="en-US"/>
        </w:rPr>
        <w:t>63</w:t>
      </w:r>
      <w:r>
        <w:rPr>
          <w:rFonts w:cs="Galliard" w:ascii="Galliard" w:hAnsi="Galliard"/>
          <w:sz w:val="24"/>
          <w:lang w:eastAsia="en-US"/>
        </w:rPr>
        <w:t xml:space="preserve">  Beyond the fact that the Commission lacks legal authority to achieve an equitable result that it cannot impose directly through retroactive refunds, there are simply no equities supporting rescission of the myriad of transactions effectuated this summer.</w:t>
      </w:r>
    </w:p>
    <w:p>
      <w:pPr>
        <w:pStyle w:val="Normal"/>
        <w:spacing w:lineRule="auto" w:line="480"/>
        <w:rPr>
          <w:rFonts w:ascii="Galliard" w:hAnsi="Galliard" w:cs="Galliard"/>
          <w:sz w:val="24"/>
          <w:lang w:eastAsia="en-US"/>
        </w:rPr>
      </w:pPr>
      <w:r>
        <w:rPr>
          <w:rFonts w:cs="Galliard" w:ascii="Galliard" w:hAnsi="Galliard"/>
          <w:sz w:val="24"/>
          <w:lang w:eastAsia="en-US"/>
        </w:rPr>
        <w:t xml:space="preserve">First and foremost, the summer 2000 rates were just and reasonable outcomes of a competitive market environment that had not been subverted by any proven exercise of systematic market power.  While consumers in San Diego may have been caught unawares, surely SDG&amp;E is a sophisticated market participant that could have factored in the risks of price volatility and the likelihood of impending price increases.  Indeed, all of the IOUs could have sought greater authority, and used their existing authority more extensively, to manage the price risks of a competitive wholesale electricity market in times of scarcity.  Had they been able to forward contract a portion of their load responsibilities, the load serving IOUs would have not been nearly so exposed to the volatility of the spot markets.  By contrast, suppliers simply bid into the market based on existing rules.  </w:t>
      </w:r>
    </w:p>
    <w:p>
      <w:pPr>
        <w:pStyle w:val="Normal"/>
        <w:spacing w:lineRule="auto" w:line="480"/>
        <w:rPr>
          <w:rFonts w:ascii="Galliard" w:hAnsi="Galliard" w:cs="Galliard"/>
          <w:sz w:val="24"/>
          <w:lang w:eastAsia="en-US"/>
        </w:rPr>
      </w:pPr>
      <w:r>
        <w:rPr>
          <w:rFonts w:cs="Galliard" w:ascii="Galliard" w:hAnsi="Galliard"/>
          <w:sz w:val="24"/>
          <w:lang w:eastAsia="en-US"/>
        </w:rPr>
        <w:t>There is an implication in one of the questions noticed by the Commission on November 17 that California generators may have made unjust and unreasonable profits.  Suggestions by California officials that Duke Energy’s year-to-date 2000 earnings (through the third quarter) are attributable to California wholesale electricity market manipulation and receipt of unjust and unreasonable rates are wholly unfounded and represent a baseless attempt to fabricate a causal relationship between market prices and purported market manipulation.  Like so many other baseless allegations made over the course of the summer, these suggestions are premised on bare assertions, unsupported by specific evidence, and, presented out of context, thereby omitting the full story.</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suggestion that one can discern market manipulation from annual financial results of a diversified energy company is far-fetched.  Duke Energy Corporation  is a diversified, international energy services company with operations on six continents and in over 50 countries.  Duke Energy Corporation’s annual earnings reflect contributions from franchised electric utility operations, natural gas transmission, gas gathering and processing, natural gas liquids marketing, wholesale natural gas and power marketing, domestic and international power project development, engineering services, cellular communications, and commercial real estate development.  Fully 89% of Duke Energy Corporation’s 2000 earnings through the third quarter were derived from business units that have no involvement in the California wholesale electricity markets.  </w:t>
      </w:r>
    </w:p>
    <w:p>
      <w:pPr>
        <w:pStyle w:val="Normal"/>
        <w:spacing w:lineRule="auto" w:line="480"/>
        <w:rPr>
          <w:rFonts w:ascii="Galliard" w:hAnsi="Galliard" w:cs="Galliard"/>
          <w:sz w:val="24"/>
          <w:lang w:eastAsia="en-US"/>
        </w:rPr>
      </w:pPr>
      <w:r>
        <w:rPr>
          <w:rFonts w:cs="Galliard" w:ascii="Galliard" w:hAnsi="Galliard"/>
          <w:sz w:val="24"/>
          <w:lang w:eastAsia="en-US"/>
        </w:rPr>
        <w:t xml:space="preserve">Even if the financial results of Duke Energy were to be broken out from the rest of Duke Energy Corporation’s earnings, the calculation of those earnings would shed no light on whether there has been any market manipulation in the California wholesale market.  Duke Energy does not report earnings specifically attributable to its California generation operations.  Even if it had, Duke Energy has implicitly hedged forward the majority of its California generation output, and, therefore, cannot be deemed to have realized a majority of its earnings directly from the California wholesale spot markets. </w:t>
      </w:r>
    </w:p>
    <w:p>
      <w:pPr>
        <w:pStyle w:val="Normal"/>
        <w:spacing w:lineRule="auto" w:line="480"/>
        <w:rPr>
          <w:rFonts w:ascii="Galliard" w:hAnsi="Galliard" w:cs="Galliard"/>
          <w:sz w:val="24"/>
          <w:lang w:eastAsia="en-US"/>
        </w:rPr>
      </w:pPr>
      <w:r>
        <w:rPr>
          <w:rFonts w:cs="Galliard" w:ascii="Galliard" w:hAnsi="Galliard"/>
          <w:sz w:val="24"/>
          <w:lang w:eastAsia="en-US"/>
        </w:rPr>
        <w:t>A costly long-term precedent will be set if the Commission authorizes any type of equitable relief aimed at rescinding transaction outcomes obtained in the highly liquid California PX and real time energy markets.  Suppliers, marketers, and bidders of all kinds will lack the certainty that their transactions will be respected, implicitly adding risk premiums that new entrants and new traders, including those who will offer new forward trading products, would need to consider in respect of possible new investments.  The Commission’s goal of not restricting new investment will be subverted if it orders retroactive rescission of transactions from the summer of 2000.</w:t>
      </w:r>
    </w:p>
    <w:p>
      <w:pPr>
        <w:pStyle w:val="Normal"/>
        <w:spacing w:lineRule="auto" w:line="480"/>
        <w:rPr/>
      </w:pPr>
      <w:r>
        <w:rPr>
          <w:rFonts w:cs="Galliard" w:ascii="Galliard" w:hAnsi="Galliard"/>
          <w:sz w:val="24"/>
          <w:lang w:eastAsia="en-US"/>
        </w:rPr>
        <w:t>Administering any equitable relief or refund plan would be difficult and arbitrary.  The Commission has no authority directly over the San Diego consumers who paid the price in their retail rates.  The Commission also has no authority over non-jurisdictional entities that participated and profited from the price spikes.  A refund plan raises equity concerns as between SDG&amp;E and the other two IOUs which have not yet paid down their stranded costs fully or been released from the CPUC’s retail rate freeze.</w:t>
      </w:r>
      <w:r>
        <w:rPr>
          <w:rFonts w:cs="Galliard" w:ascii="Galliard" w:hAnsi="Galliard"/>
          <w:sz w:val="18"/>
          <w:vertAlign w:val="superscript"/>
          <w:lang w:eastAsia="en-US"/>
        </w:rPr>
        <w:t>64</w:t>
      </w:r>
      <w:r>
        <w:rPr>
          <w:rFonts w:cs="Galliard" w:ascii="Galliard" w:hAnsi="Galliard"/>
          <w:sz w:val="24"/>
          <w:lang w:eastAsia="en-US"/>
        </w:rPr>
        <w:t xml:space="preserve">  Finally, identifying the market participants from whom refunds would be collected raises insuperable allocation issues.  Many market participants bought and sold electricity on the same dates, entering into hedges and other financial risk managed transactions.  By yielding to retroactive refunds, the Commission would be altering the value of the freely negotiated risk-management transactions, thereby penalizing those who managed their price risk relative to those who did not.</w:t>
      </w:r>
    </w:p>
    <w:p>
      <w:pPr>
        <w:pStyle w:val="Normal"/>
        <w:spacing w:lineRule="auto" w:line="480"/>
        <w:rPr>
          <w:rFonts w:ascii="Galliard" w:hAnsi="Galliard" w:cs="Galliard"/>
          <w:sz w:val="24"/>
          <w:lang w:eastAsia="en-US"/>
        </w:rPr>
      </w:pPr>
      <w:r>
        <w:rPr>
          <w:rFonts w:cs="Galliard" w:ascii="Galliard" w:hAnsi="Galliard"/>
          <w:sz w:val="24"/>
          <w:lang w:eastAsia="en-US"/>
        </w:rPr>
        <w:t xml:space="preserve">As described above, there is no single, determinable competitive level of prices or a single, consensus measure of a just and reasonable benchmark.  Consequently, any calculation of retroactive refunds would be highly arbitrary and inherently inequitable.  Thus, administration of a retroactive refund scheme or an alternative equitable mitigation program directed at the California bulk power markets for the summer of 2000 would create more problems than it purports to solve.  California has already considered and adopted a legislative solution to the higher prices sustained by San Diego area consumers.  The Commission should resist the temptation to structure its own equitable relief package and it should emphatically reconfirm that it lacks statutory authority to entertain claims for refunds relative to prices sustained in the summer of 2000.   </w:t>
      </w:r>
    </w:p>
    <w:p>
      <w:pPr>
        <w:pStyle w:val="Normal"/>
        <w:rPr/>
      </w:pPr>
      <w:r>
        <w:rPr>
          <w:sz w:val="24"/>
          <w:lang w:eastAsia="en-US"/>
        </w:rPr>
        <w:t>III.</w:t>
        <w:tab/>
      </w:r>
      <w:r>
        <w:rPr>
          <w:rFonts w:cs="Galliard" w:ascii="Galliard" w:hAnsi="Galliard"/>
          <w:b/>
          <w:sz w:val="24"/>
          <w:lang w:eastAsia="en-US"/>
        </w:rPr>
        <w:t>THE KEY REFORMS IN THE PROPOSED ORDER WILL ENCOURAGE SUBSTANTIAL UTILIZATION OF FORWARD CONTRACTING ONLY IF THE COMMISSION LINKS ITS REFORM PACKAGE TO ADOPTION BY THE STATE OF CALIFORNIA OF PARALLEL MEASURES</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Proposed Order contains a package of proposals that are designed to reduce the prominence of spot markets in California and to encourage widespread and creative use of forward contracting, hedging and risk management strategies.  These proposals would empower load-serving utilities to manage price risk for themselves and their customers.  Duke Energy supports this package of reforms, which include: (i) the abolition of the PX buy-sell requirement imposed on California investor-owned utilities (“IOUs”), (ii) permission to California IOUs to be their own scheduling coordinator, (iii) authorization for California IOUs to pursue portfolios of long and short-term resources and to access any wholesale market, whether bilateral, run by the PX, or by other exchanges, such as the Automated Power Exchange, Inc., (iv) limiting the ISO to reliability functions rather than running an energy market, (v) imposition of a penalty charge on loads that deviate more than 5 percent for each hour, and (vi) limiting suppliers who participate in the real-time market to either a capacity payment for replacement reserves of energy payments, but not both.  </w:t>
      </w:r>
    </w:p>
    <w:p>
      <w:pPr>
        <w:pStyle w:val="Normal"/>
        <w:spacing w:lineRule="auto" w:line="480"/>
        <w:rPr>
          <w:rFonts w:ascii="Galliard" w:hAnsi="Galliard" w:cs="Galliard"/>
          <w:sz w:val="24"/>
          <w:lang w:eastAsia="en-US"/>
        </w:rPr>
      </w:pPr>
      <w:r>
        <w:rPr>
          <w:rFonts w:cs="Galliard" w:ascii="Galliard" w:hAnsi="Galliard"/>
          <w:sz w:val="24"/>
          <w:lang w:eastAsia="en-US"/>
        </w:rPr>
        <w:t xml:space="preserve">Duke Energy is concerned that the effectiveness of the Commission-authorized reforms will be stunted unless, at the state level, there are similar commitments made to invigorating forward markets.  To ensure that robust forward markets emerge, Duke Energy recommends an explicit linkage under which Commission-ordered mitigation measures, such as authority to mitigate any bids above the soft cap, under whatever criteria would be adopted,  would lapse after six months, unless the CPUC recognizes federally prescribed safeharbors for establishing fair, just, and reasonable forward contracting practices and rates.  Thus, for example, the Commission could prescribe that forward contracts entered into pursuant to RFPs would be deemed presumptively just and reasonable as of the time entered into if the RFPs evoked responses from competitive suppliers.  The load-serving utilities and suppliers could enter into contracts of any duration, including for more than five years, covering energy only, capacity, full requirements service, etc.  Prices could be fixed or variable, based on indices.  The Commission need not prescribe criteria for acceptable forward contracts, but should leave to the market the development of appropriate products that can provide both load-serving utilities and suppliers the portfolio of options they need to manage risk effectively.  Thus, the Commission should let the market participants design the contracts pursuant to the RFP process.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Commission could also condition load-serving utilities’ access to the PX and real-time markets, as well as their prospective entitlement to any mitigation of prices that may be ordered prospectively, upon their having initiated RFP processes that are designed to procure substantial forward contracts and to result in competitively determined prices.  The Commission should accept the results of contracts entered into pursuant to such an RFP process as being just and reasonable, absent any evidence of market failure or the improper exercise of market power as pertains to the offers of forward contracts. </w:t>
      </w:r>
    </w:p>
    <w:p>
      <w:pPr>
        <w:pStyle w:val="Normal"/>
        <w:spacing w:lineRule="auto" w:line="480"/>
        <w:rPr/>
      </w:pPr>
      <w:r>
        <w:rPr>
          <w:rFonts w:cs="Galliard" w:ascii="Galliard" w:hAnsi="Galliard"/>
          <w:sz w:val="24"/>
          <w:lang w:eastAsia="en-US"/>
        </w:rPr>
        <w:t xml:space="preserve">The Commission, of course, cannot mandate that the CPUC adopt specific prudency rules or processes to protect load-serving utilities that enter into forward contracts which are derived through the RFP process described above.  However, under the </w:t>
      </w:r>
      <w:r>
        <w:rPr>
          <w:rFonts w:cs="Galliard" w:ascii="Galliard" w:hAnsi="Galliard"/>
          <w:i/>
          <w:sz w:val="24"/>
          <w:lang w:eastAsia="en-US"/>
        </w:rPr>
        <w:t>Nantahala</w:t>
      </w:r>
      <w:r>
        <w:rPr>
          <w:rFonts w:cs="Galliard" w:ascii="Galliard" w:hAnsi="Galliard"/>
          <w:sz w:val="24"/>
          <w:lang w:eastAsia="en-US"/>
        </w:rPr>
        <w:t xml:space="preserve"> doctrine,</w:t>
      </w:r>
      <w:r>
        <w:rPr>
          <w:rFonts w:cs="Galliard" w:ascii="Galliard" w:hAnsi="Galliard"/>
          <w:sz w:val="18"/>
          <w:vertAlign w:val="superscript"/>
          <w:lang w:eastAsia="en-US"/>
        </w:rPr>
        <w:t xml:space="preserve"> 65</w:t>
      </w:r>
      <w:r>
        <w:rPr>
          <w:rFonts w:cs="Galliard" w:ascii="Galliard" w:hAnsi="Galliard"/>
          <w:sz w:val="24"/>
          <w:lang w:eastAsia="en-US"/>
        </w:rPr>
        <w:t xml:space="preserve"> the Commission could expect the CPUC to respect the prudency of power purchase costs under forward contracts that meet federally prescribed standards or RFP processes.  Because the load-serving utilities’ practices have become such a highly charged subject, involving litigation by the load-serving utilities in state proceedings, Duke Energy is concerned that the federal reforms advanced by the Commission will be neutralized by state inaction.  For this reason, Duke Energy proposes the linkage between state measures and the federally sanctioned RFP process.  The linkage could entail that load serving utilities would be denied certain benefits of the wholesale market if state prudency measures are not in effect, or that price mitigation proposals will expire (i.e., the soft cap would no longer be used to mitigate prices above it) if state prudency measures are not implemented within six months.  The PURPA regime of mixed federal and state jurisdiction, where federal regulations and state regulations coexist, is instructive.  Duke Energy proposes that, in reforming wholesale markets in California, the Commission has authority to link the implementation of federal measures upon state implementation of measures that respect a process for determining just and reasonable wholesale forward contracts.   </w:t>
      </w:r>
    </w:p>
    <w:p>
      <w:pPr>
        <w:pStyle w:val="Normal"/>
        <w:spacing w:lineRule="auto" w:line="480"/>
        <w:rPr>
          <w:rFonts w:ascii="Galliard" w:hAnsi="Galliard" w:cs="Galliard"/>
          <w:sz w:val="24"/>
          <w:lang w:eastAsia="en-US"/>
        </w:rPr>
      </w:pPr>
      <w:r>
        <w:rPr>
          <w:rFonts w:cs="Galliard" w:ascii="Galliard" w:hAnsi="Galliard"/>
          <w:sz w:val="24"/>
          <w:lang w:eastAsia="en-US"/>
        </w:rPr>
        <w:t>At bottom, all recognize that the success of reformed rules depends upon market participants enjoying the freedom to take advantage of these risk management opportunities.  An express linkage of mitigation under the soft cap with state adoption of prudency assurances is essential to kick starting the forward contract market.</w:t>
      </w:r>
    </w:p>
    <w:p>
      <w:pPr>
        <w:pStyle w:val="Normal"/>
        <w:spacing w:lineRule="auto" w:line="480"/>
        <w:rPr>
          <w:rFonts w:ascii="Galliard" w:hAnsi="Galliard" w:cs="Galliard"/>
          <w:sz w:val="24"/>
          <w:lang w:eastAsia="en-US"/>
        </w:rPr>
      </w:pPr>
      <w:r>
        <w:rPr>
          <w:rFonts w:cs="Galliard" w:ascii="Galliard" w:hAnsi="Galliard"/>
          <w:sz w:val="24"/>
          <w:lang w:eastAsia="en-US"/>
        </w:rPr>
        <w:t>As highlighted in the Introduction to these comments, Duke Energy is prepared to offer, and assumes that other suppliers will step forward as well to offer, forward contracts for substantial energy for periods of at least five years, at fixed-price contracts.  Duke Energy is also prepared to participate in a fair RFP bid process for forward contracts.  What is needed to unlock the power of forward contract trading are assurances of regulatory stability at both the federal and state levels.  Suppliers need to know that their wholesale customers, the load-serving utilities, will be able to rely upon forward contracts reasonably negotiated through an RFP or other robust bilateral trading process.  There needs to be a process that assures both parties to the forward contract that the regulators will respect the results as just and reasonable, regardless of future movements in the spot market or forward contract prices.</w:t>
      </w:r>
    </w:p>
    <w:p>
      <w:pPr>
        <w:pStyle w:val="Normal"/>
        <w:rPr/>
      </w:pPr>
      <w:r>
        <w:rPr>
          <w:sz w:val="24"/>
          <w:lang w:eastAsia="en-US"/>
        </w:rPr>
        <w:t>IV.</w:t>
        <w:tab/>
      </w:r>
      <w:r>
        <w:rPr>
          <w:rFonts w:cs="Galliard" w:ascii="Galliard" w:hAnsi="Galliard"/>
          <w:b/>
          <w:sz w:val="24"/>
          <w:lang w:eastAsia="en-US"/>
        </w:rPr>
        <w:t>PROTECTION OF RETAIL CONSUMERS FROM WHOLESALE MARKET VOLATILITY WILL NOT BE FULLY REALIZED UNTIL THE STATE IMPLEMENTS CRITICAL RETAIL REFORMS</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flaws in the design of California’s retail markets (and rules governing load-serving utilities’ participation in those markets) have been primarily responsible for the high wholesale electricity prices that were passed through to SDG&amp;E’s retail consumers.  The Proposed Order and the Staff Report identify the significance of greatly increased forward contracting, which the state must encourage and facilitate. In addition to reforming that aspect of California’s retail rules, the Staff Report and the PX Report and the CAISO’s Market Surveillance Committee (“MSC”) have identified three other flaws in the State’s retail markets that need to be fixed: (a) barriers to entry of new generation, (b) the lack of demand side responsiveness to price volatility, and (c) the lack of any meaningful competition at the retail level.  Only if the State takes prompt steps to correct these flaws will retail consumers be effectively protected from wholesale market price volatility. </w:t>
      </w:r>
    </w:p>
    <w:p>
      <w:pPr>
        <w:pStyle w:val="Normal"/>
        <w:spacing w:lineRule="auto" w:line="480"/>
        <w:rPr>
          <w:rFonts w:ascii="Galliard" w:hAnsi="Galliard" w:cs="Galliard"/>
          <w:sz w:val="24"/>
          <w:lang w:eastAsia="en-US"/>
        </w:rPr>
      </w:pPr>
      <w:r>
        <w:rPr>
          <w:rFonts w:cs="Galliard" w:ascii="Galliard" w:hAnsi="Galliard"/>
          <w:sz w:val="24"/>
          <w:lang w:eastAsia="en-US"/>
        </w:rPr>
        <w:t>It has been well-documented that the process for obtaining all the permits and approvals necessary to construct and operate a new powerplant in California is laborious and time consuming, even in the absence of public opposition.  The permitting process often takes up to two years before construction can commence.  It is imperative that the state do all that it can to streamline the permitting process for most new generation, so that the addition of new generation can keep pace with load growth.  While the California Assembly passed one bill this past session with siting reform as its goal, the bill unfortunately only applies in limited instances to plants of 50 MW or less, and it requires those plants to be torn down or replaced after three years.  This is hardly the long-term solution that the state needs.</w:t>
      </w:r>
    </w:p>
    <w:p>
      <w:pPr>
        <w:pStyle w:val="Normal"/>
        <w:spacing w:lineRule="auto" w:line="480"/>
        <w:rPr>
          <w:rFonts w:ascii="Galliard" w:hAnsi="Galliard" w:cs="Galliard"/>
          <w:sz w:val="24"/>
          <w:lang w:eastAsia="en-US"/>
        </w:rPr>
      </w:pPr>
      <w:r>
        <w:rPr>
          <w:rFonts w:cs="Galliard" w:ascii="Galliard" w:hAnsi="Galliard"/>
          <w:sz w:val="24"/>
          <w:lang w:eastAsia="en-US"/>
        </w:rPr>
        <w:t xml:space="preserve">It is worth noting that on November 20, 2000, the California Energy Commission (“CEC”) issued a report concluding that generation supplies are anticipated to be adequate to meet the load demands  in California in the summer of 2001.  While Duke Energy and others, most notably the CAISO, have serious reservations concerning the validity of the CEC assumptions, all concerned must hope that the CEC is correct.  In the meantime, the state should not put all of its eggs in the basket of reliance on  optimistic forecasts, and should instead press forward with long-term improvements to the retail market. </w:t>
      </w:r>
    </w:p>
    <w:p>
      <w:pPr>
        <w:pStyle w:val="Normal"/>
        <w:spacing w:lineRule="auto" w:line="480"/>
        <w:rPr>
          <w:rFonts w:ascii="Galliard" w:hAnsi="Galliard" w:cs="Galliard"/>
          <w:sz w:val="24"/>
          <w:lang w:eastAsia="en-US"/>
        </w:rPr>
      </w:pPr>
      <w:r>
        <w:rPr>
          <w:rFonts w:cs="Galliard" w:ascii="Galliard" w:hAnsi="Galliard"/>
          <w:sz w:val="24"/>
          <w:lang w:eastAsia="en-US"/>
        </w:rPr>
        <w:t>There is near universal agreement that state retail markets must incorporate demand-side, price responsiveness.  The CPUC needs to take a more active role to promote such demand-side responsiveness.</w:t>
      </w:r>
    </w:p>
    <w:p>
      <w:pPr>
        <w:pStyle w:val="Normal"/>
        <w:spacing w:lineRule="auto" w:line="480"/>
        <w:rPr>
          <w:rFonts w:ascii="Galliard" w:hAnsi="Galliard" w:cs="Galliard"/>
          <w:sz w:val="24"/>
          <w:lang w:eastAsia="en-US"/>
        </w:rPr>
      </w:pPr>
      <w:r>
        <w:rPr>
          <w:rFonts w:cs="Galliard" w:ascii="Galliard" w:hAnsi="Galliard"/>
          <w:sz w:val="24"/>
          <w:lang w:eastAsia="en-US"/>
        </w:rPr>
        <w:t xml:space="preserve">Finally, the MSC has rightfully noted that there is virtually no competition at the retail level in any service territory in the state.  AB 1890 effectively denied incentives for any competing retail provider to attempt to compete for customers of the load-serving utilities.  Unlike other states, most notably Pennsylvania, where many retail customers have switched providers, the number of customers that have switched suppliers in California is negligible.  The CPUC must follow through on MSC recommendations and establish a fixed default provider rate that is sufficiently high to provide incentives for other competitors to offer superior rates.   </w:t>
      </w:r>
    </w:p>
    <w:p>
      <w:pPr>
        <w:pStyle w:val="Normal"/>
        <w:rPr/>
      </w:pPr>
      <w:r>
        <w:rPr>
          <w:sz w:val="24"/>
          <w:lang w:eastAsia="en-US"/>
        </w:rPr>
        <w:t>V.</w:t>
        <w:tab/>
      </w:r>
      <w:r>
        <w:rPr>
          <w:rFonts w:cs="Galliard" w:ascii="Galliard" w:hAnsi="Galliard"/>
          <w:b/>
          <w:sz w:val="24"/>
          <w:lang w:eastAsia="en-US"/>
        </w:rPr>
        <w:t xml:space="preserve">THE COMMISSION’S “SOFT CAP” PROPOSAL SHOULD BE MODIFIED TO MINIMIZE REPORTING BURDENS AND TO CLARIFY THAT IT WILL OPERATE AS A PRICE MITIGATION MEASURE BASED UPON MARKET CRITERIA, NOT UPON MARGINAL COST CRITERIA, AND THAT IT WILL NOT OPERATE AS A FIXED PRICE CAP </w:t>
      </w:r>
    </w:p>
    <w:p>
      <w:pPr>
        <w:pStyle w:val="Normal"/>
        <w:spacing w:lineRule="auto" w:line="480"/>
        <w:rPr/>
      </w:pPr>
      <w:r>
        <w:rPr>
          <w:rFonts w:cs="Galliard" w:ascii="Galliard" w:hAnsi="Galliard"/>
          <w:sz w:val="24"/>
          <w:lang w:eastAsia="en-US"/>
        </w:rPr>
        <w:t>The Proposed Order proposes to replace the single price auction used by the PX and ISO for all sale offers above $150/MWh.  The Commission proposes to couple this reform with a reporting requirement that jurisdictional suppliers submit weekly incremental generation cost information on each transaction above $150/MWh.  Suppliers may include “opportunity costs that are known and verifiable” that were considered in developing a bid.</w:t>
      </w:r>
      <w:r>
        <w:rPr>
          <w:rFonts w:cs="Galliard" w:ascii="Galliard" w:hAnsi="Galliard"/>
          <w:sz w:val="18"/>
          <w:vertAlign w:val="superscript"/>
          <w:lang w:eastAsia="en-US"/>
        </w:rPr>
        <w:t>66</w:t>
      </w:r>
      <w:r>
        <w:rPr>
          <w:rFonts w:cs="Galliard" w:ascii="Galliard" w:hAnsi="Galliard"/>
          <w:sz w:val="24"/>
          <w:lang w:eastAsia="en-US"/>
        </w:rPr>
        <w:t xml:space="preserve">  The Proposed Order indicates that the Commission would use such data to detect potential exercise of market power, to establish just and reasonable rates, and to adjust transaction prices.  The Proposed Order provides no criteria for determining under what conditions bids above $150/MWh would be scrutinized or when transaction prices would be adjusted.  The Proposed Order also provides no analysis of the apparent exemption of non-jurisdictional suppliers and out-of-market suppliers, not insignificant classes of market participants,</w:t>
      </w:r>
      <w:r>
        <w:rPr>
          <w:rFonts w:cs="Galliard" w:ascii="Galliard" w:hAnsi="Galliard"/>
          <w:sz w:val="18"/>
          <w:vertAlign w:val="superscript"/>
          <w:lang w:eastAsia="en-US"/>
        </w:rPr>
        <w:t>67</w:t>
      </w:r>
      <w:r>
        <w:rPr>
          <w:rFonts w:cs="Galliard" w:ascii="Galliard" w:hAnsi="Galliard"/>
          <w:sz w:val="24"/>
          <w:lang w:eastAsia="en-US"/>
        </w:rPr>
        <w:t xml:space="preserve"> from the reporting requirements and from exposure to price adjustments or refunds.  The resulting uncertainty and inequity surrounding how such a “soft cap” would be applied will negate the benefits that the Commission sought in its revocation of hard cap price authority to the CAISO and to the PX. </w:t>
      </w:r>
    </w:p>
    <w:p>
      <w:pPr>
        <w:pStyle w:val="Normal"/>
        <w:spacing w:lineRule="auto" w:line="480"/>
        <w:rPr>
          <w:rFonts w:ascii="Galliard" w:hAnsi="Galliard" w:cs="Galliard"/>
          <w:sz w:val="24"/>
          <w:lang w:eastAsia="en-US"/>
        </w:rPr>
      </w:pPr>
      <w:r>
        <w:rPr>
          <w:rFonts w:cs="Galliard" w:ascii="Galliard" w:hAnsi="Galliard"/>
          <w:sz w:val="24"/>
          <w:lang w:eastAsia="en-US"/>
        </w:rPr>
        <w:t>Duke Energy recognizes that the single price auction will no longer be used to set the market clearing price for all transactions, during a transition period.  In its place, an as-bid auction will be utilized for bids above a certain threshold level.  If that level is intended to trigger temporary Commission scrutiny of bids and market outcomes, a higher level should be set than $150/MWh.  As described above, prices above $150 can easily be explained by market fundamentals and should not necessarily trigger burdensome reporting requirements and mitigation standards.  In the interests of choosing an acceptable starting point, Duke Energy proposes that the threshold for the soft cap remain at the level of pre-existing CAISO cap authority, which was $250/MWh.  This level would be fixed by the Commission, applicable to all bids into the PX and CAISO markets, and would not be intended to be changed on a formulaic basis depending upon fluctuations in market fundamentals.</w:t>
      </w:r>
    </w:p>
    <w:p>
      <w:pPr>
        <w:pStyle w:val="Normal"/>
        <w:spacing w:lineRule="auto" w:line="480"/>
        <w:rPr>
          <w:rFonts w:ascii="Galliard" w:hAnsi="Galliard" w:cs="Galliard"/>
          <w:sz w:val="24"/>
          <w:lang w:eastAsia="en-US"/>
        </w:rPr>
      </w:pPr>
      <w:r>
        <w:rPr>
          <w:rFonts w:cs="Galliard" w:ascii="Galliard" w:hAnsi="Galliard"/>
          <w:sz w:val="24"/>
          <w:lang w:eastAsia="en-US"/>
        </w:rPr>
        <w:t xml:space="preserve">Duke Energy recommends a series of modifications to the administration of the soft cap.  Since the soft cap is clearly intended not just to close off the single price auction, but to act as a potential threshold for price mitigation scrutiny, the Commission should clearly articulate procedures and objectively verifiable standards for limiting or adjusting bids submitted under the as-bid auction.  These standards should rest on the principle that, in the absence of market power, bidders into an as-bid auction should be allowed to bid their view of the competitive market clearing price.  This is the way as-bid auctions work.  If bidders bid too high, they will not be selected and will have missed out on supply opportunities.  If bidders bid too low, they will receive less than if they had correctly estimated the eventual market clearing price.  This principle suggests an administrative rule for applying the soft cap.  For a given market and day, the Commission should rank order the bids and proceed to apply mitigation rules only to the highest successful bidder (the “highest-rank bidder”).  If, under criteria to be discussed below, the Commission determines that the highest-rank bidder was justified, and is, therefore, not subject to mitigation, all other bidders become presumptively justified as well, since they should be presumed able to bid against a reasonable estimate of an expected, higher market-clearing price.  If the Commission does not rank order the bids for purposes of scrutiny and potential mitigation, it will signal a return to some form of cost-based ratemaking as applied to an as-bid auction during periods of high demand.   </w:t>
      </w:r>
    </w:p>
    <w:p>
      <w:pPr>
        <w:pStyle w:val="Normal"/>
        <w:spacing w:lineRule="auto" w:line="480"/>
        <w:rPr/>
      </w:pPr>
      <w:r>
        <w:rPr>
          <w:rFonts w:cs="Galliard" w:ascii="Galliard" w:hAnsi="Galliard"/>
          <w:sz w:val="24"/>
          <w:lang w:eastAsia="en-US"/>
        </w:rPr>
        <w:t>Second, Duke Energy recommends clarification of the criteria for scrutinizing the highest-rank bids for possible mitigation.  The first criteria that the Commission should expressly adopt is that bidders are not expected to bid their marginal costs of production, or even their marginal costs of production, plus a mark-up for a contribution to fixed cost recovery..  The Commission should adopt a presumption of reasonableness for any highest-rank bid that is premised on reasonably expected opportunity costs.  Thus, Duke Energy proposes that the Commission prescribe a “market screen,” which would represent a determination of prevailing market opportunity costs for California suppliers.  Any bid below the screen price at any given time would automatically be free of further scrutiny or mitigation.  The Commission, or the CAISO and PX, could post estimates of opportunity costs prevailing in other, interconnected locational markets, such as the WSCC.  The WSCC prices would thus be a screen or presumptive floor for bids for purposes of implementing mitigation scrutiny.</w:t>
      </w:r>
      <w:r>
        <w:rPr>
          <w:rFonts w:cs="Galliard" w:ascii="Galliard" w:hAnsi="Galliard"/>
          <w:sz w:val="18"/>
          <w:vertAlign w:val="superscript"/>
          <w:lang w:eastAsia="en-US"/>
        </w:rPr>
        <w:t>68</w:t>
      </w:r>
      <w:r>
        <w:rPr>
          <w:rFonts w:cs="Galliard" w:ascii="Galliard" w:hAnsi="Galliard"/>
          <w:sz w:val="24"/>
          <w:lang w:eastAsia="en-US"/>
        </w:rPr>
        <w:t xml:space="preserve">  The Commission should not use gas costs or other cost-based measures for its determinations and should not attempt to determine a benchmark price based upon a theoretical, perfectly competitive short term scenario, against which to judge higher bids.</w:t>
      </w:r>
    </w:p>
    <w:p>
      <w:pPr>
        <w:pStyle w:val="Normal"/>
        <w:spacing w:lineRule="auto" w:line="480"/>
        <w:rPr>
          <w:rFonts w:ascii="Galliard" w:hAnsi="Galliard" w:cs="Galliard"/>
          <w:sz w:val="24"/>
          <w:lang w:eastAsia="en-US"/>
        </w:rPr>
      </w:pPr>
      <w:r>
        <w:rPr>
          <w:rFonts w:cs="Galliard" w:ascii="Galliard" w:hAnsi="Galliard"/>
          <w:sz w:val="24"/>
          <w:lang w:eastAsia="en-US"/>
        </w:rPr>
        <w:t xml:space="preserve">In applying a market screen, the Commission must also take notice of bids being made by nonjurisdictional entities.  Such bids, which are not subject to mitigation under the soft cap proposal, must serve as a valid benchmark against which a highest-rank , jurisdictional bidder can justify its bid.  If such a rule is not adopted, these nonjurisdictional entities will have a significant competitive advantage in framing their bidding strategies, especially in times of scarcity.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Third, if a highest-ranking bid is above the market screen and subject to further scrutiny, the Commission’s next standard should be whether there has been any evidence of withholding.  Absent such evidence of possible market power, a highest-ranking bid that exceeds the market screen should be presumptively cleared of further scrutiny or mitigation.  </w:t>
      </w:r>
    </w:p>
    <w:p>
      <w:pPr>
        <w:pStyle w:val="Normal"/>
        <w:spacing w:lineRule="auto" w:line="480"/>
        <w:rPr>
          <w:rFonts w:ascii="Galliard" w:hAnsi="Galliard" w:cs="Galliard"/>
          <w:sz w:val="24"/>
          <w:lang w:eastAsia="en-US"/>
        </w:rPr>
      </w:pPr>
      <w:r>
        <w:rPr>
          <w:rFonts w:cs="Galliard" w:ascii="Galliard" w:hAnsi="Galliard"/>
          <w:sz w:val="24"/>
          <w:lang w:eastAsia="en-US"/>
        </w:rPr>
        <w:t xml:space="preserve">Fourth, even if there is evidence of withholding, the supplier should be able to justify its bid based on its actual production costs, its reasonably expected opportunity costs, and other relevant factors.  Since individual cost data becomes relevant only for bidders that become subject to scrutiny after falling through the market screen and withholding test, the Commission need not collect such data on a frequent basis from all bidders over the threshold (i.e., $250).  Duke Energy proposes that suppliers submitting bids above the threshold would be required simply to retain cost records in the event they wish to submit them in subsequent substantiation of their above-threshold bids.  The Commission’s reporting requirement could, thus, be modified into a data retention requirement. </w:t>
      </w:r>
    </w:p>
    <w:p>
      <w:pPr>
        <w:pStyle w:val="Normal"/>
        <w:spacing w:lineRule="auto" w:line="480"/>
        <w:rPr>
          <w:rFonts w:ascii="Galliard" w:hAnsi="Galliard" w:cs="Galliard"/>
          <w:sz w:val="24"/>
          <w:lang w:eastAsia="en-US"/>
        </w:rPr>
      </w:pPr>
      <w:r>
        <w:rPr>
          <w:rFonts w:cs="Galliard" w:ascii="Galliard" w:hAnsi="Galliard"/>
          <w:sz w:val="24"/>
          <w:lang w:eastAsia="en-US"/>
        </w:rPr>
        <w:t xml:space="preserve">Fifth, the Commission should establish tight time periods in which mitigation measures might be implemented.  Generators and other suppliers should not be required to live under the uncertainty that mitigation might be imposed retroactively during the entire 24 months of the proposed transition period.  The Commission should rely on the CAISO and the PX to rank order their respective bids and to apply the market screens within 3 business days of receipt of bids.  Any bids above the market screen would be subject to scrutiny by the Commission for withholding within one month (again, on a highest-rank bid basis).  Any highest-rank supplier that is found to have withheld would have a further thirty days to provide justification of its production and opportunity costs and of its reasonable estimates of what it expected to be a market clearing price.  Thus, the whole mitigation process could be speeded up, and certainty provided to the bulk of market participants who pass the bid threshold within three or thirty days.  </w:t>
      </w:r>
    </w:p>
    <w:p>
      <w:pPr>
        <w:pStyle w:val="Normal"/>
        <w:spacing w:lineRule="auto" w:line="480"/>
        <w:rPr>
          <w:rFonts w:ascii="Galliard" w:hAnsi="Galliard" w:cs="Galliard"/>
          <w:sz w:val="24"/>
          <w:lang w:eastAsia="en-US"/>
        </w:rPr>
      </w:pPr>
      <w:r>
        <w:rPr>
          <w:rFonts w:cs="Galliard" w:ascii="Galliard" w:hAnsi="Galliard"/>
          <w:sz w:val="24"/>
          <w:lang w:eastAsia="en-US"/>
        </w:rPr>
        <w:t>Duke Energy also adds a recommendation that the soft cap not apply to RMR units.  Under existing rules, the ISO dispatches RMR units prior to the day ahead markets, and, if called, such units must elect to take the market clearing price (after bidding zero) or their contract price.  If these units elect to take the market clearing price, the soft cap proposal has the effect of becoming a hard cap at the threshold price (i.e. $150 as the Commission proposes or $250 as Duke Energy proposes).  Since many RMR units are peakers, an artificial, hard price cap of $150 is clearly too low to incent market operations.  Rather than rely on contract payments that may not assure fixed cost recovery, RMR units might flee Condition 1 and become Condition 2 units.</w:t>
      </w:r>
    </w:p>
    <w:p>
      <w:pPr>
        <w:pStyle w:val="Normal"/>
        <w:spacing w:lineRule="auto" w:line="480"/>
        <w:rPr>
          <w:rFonts w:ascii="Galliard" w:hAnsi="Galliard" w:cs="Galliard"/>
          <w:sz w:val="24"/>
          <w:lang w:eastAsia="en-US"/>
        </w:rPr>
      </w:pPr>
      <w:r>
        <w:rPr>
          <w:rFonts w:cs="Galliard" w:ascii="Galliard" w:hAnsi="Galliard"/>
          <w:sz w:val="24"/>
          <w:lang w:eastAsia="en-US"/>
        </w:rPr>
        <w:t xml:space="preserve">A further problem with the soft cap’s interaction with RMR units is that the CAISO will have the discretion to call as much RMR capacity as possible, knowing they will be capped at the threshold price.  Condition 1 units will thus have less opportunity to earn reasonable market prices.  In those areas where local reliability requires new peakers, but those would still need to be RMR units under the CAISO criteria, the hardened soft cap will have the effect of discouraging new investment where it is most needed. </w:t>
      </w:r>
    </w:p>
    <w:p>
      <w:pPr>
        <w:pStyle w:val="Normal"/>
        <w:spacing w:lineRule="auto" w:line="480"/>
        <w:rPr>
          <w:rFonts w:ascii="Galliard" w:hAnsi="Galliard" w:cs="Galliard"/>
          <w:sz w:val="24"/>
          <w:lang w:eastAsia="en-US"/>
        </w:rPr>
      </w:pPr>
      <w:r>
        <w:rPr>
          <w:rFonts w:cs="Galliard" w:ascii="Galliard" w:hAnsi="Galliard"/>
          <w:sz w:val="24"/>
          <w:lang w:eastAsia="en-US"/>
        </w:rPr>
        <w:t xml:space="preserve">Duke Energy recommends that, since RMR units, by force of rule, cannot be the highest-rank bidder, they should be allowed to receive the market clearing price established in the as-bid auction.  In sum, the predispatch protocols, in conjunction with the soft cap, will work undesirable impacts on RMR units and may stifle new investment in units that might still be required to be RMR units due to local congestion and reliability issues that a new peaker may be subject to.  </w:t>
      </w:r>
    </w:p>
    <w:p>
      <w:pPr>
        <w:pStyle w:val="Normal"/>
        <w:spacing w:lineRule="auto" w:line="480"/>
        <w:rPr>
          <w:rFonts w:ascii="Galliard" w:hAnsi="Galliard" w:cs="Galliard"/>
          <w:sz w:val="24"/>
          <w:lang w:eastAsia="en-US"/>
        </w:rPr>
      </w:pPr>
      <w:r>
        <w:rPr>
          <w:rFonts w:cs="Galliard" w:ascii="Galliard" w:hAnsi="Galliard"/>
          <w:sz w:val="24"/>
          <w:lang w:eastAsia="en-US"/>
        </w:rPr>
        <w:t xml:space="preserve">More generally, the soft cap should be modified along the five steps described above.  These steps are designed to still retain a price mitigation feature, but one that is administrable, imposes a minimum recordkeeping burden on suppliers, provides clear criteria not tied to individual marginal costs of production, and will provide certainty to bidders and other market participants within a relatively short period of time.   </w:t>
      </w:r>
    </w:p>
    <w:p>
      <w:pPr>
        <w:pStyle w:val="Normal"/>
        <w:rPr>
          <w:rFonts w:ascii="Galliard" w:hAnsi="Galliard" w:cs="Galliard"/>
          <w:b/>
          <w:sz w:val="24"/>
          <w:lang w:eastAsia="en-US"/>
        </w:rPr>
      </w:pPr>
      <w:r>
        <w:rPr>
          <w:rFonts w:cs="Galliard" w:ascii="Galliard" w:hAnsi="Galliard"/>
          <w:b/>
          <w:sz w:val="24"/>
          <w:lang w:eastAsia="en-US"/>
        </w:rPr>
        <w:t>CONCLUSION</w:t>
      </w:r>
    </w:p>
    <w:p>
      <w:pPr>
        <w:pStyle w:val="Normal"/>
        <w:spacing w:lineRule="auto" w:line="480"/>
        <w:rPr>
          <w:rFonts w:ascii="Galliard" w:hAnsi="Galliard" w:cs="Galliard"/>
          <w:sz w:val="24"/>
          <w:lang w:eastAsia="en-US"/>
        </w:rPr>
      </w:pPr>
      <w:r>
        <w:rPr>
          <w:rFonts w:cs="Galliard" w:ascii="Galliard" w:hAnsi="Galliard"/>
          <w:sz w:val="24"/>
          <w:lang w:eastAsia="en-US"/>
        </w:rPr>
        <w:t xml:space="preserve">In sum, the Commission’s Proposed Order charts a package of reforms, within its jurisdiction, designed to correct perceived flaws in market structures and market rules that caused and exacerbated the price instability experienced in the summer of 2000.  The politicization of California’s electricity market necessitates that the Commission’s final order reaffirm the federal commitment to competitive wholesale power markets, while recognizing State responsibility to take corresponding corrective measures to enhance its competitive markets and to protect retail consumers.  In reiterating the primacy of competitive wholesale markets, the Commission should confirm the Staff Report’s conclusions concerning the causes of price increases and the absence of evidence of market power.  The Commission should clarify that it has not found that the overall level of wholesale electric prices was unjust and unreasonable during the summer of 2000, or that bids and prices above marginal production costs evidence a market that is not workably competitive.  Indeed, the Commission should find that the overall level of prices during the summer of 2000 was just and reasonable.  </w:t>
      </w:r>
    </w:p>
    <w:p>
      <w:pPr>
        <w:pStyle w:val="Normal"/>
        <w:spacing w:lineRule="auto" w:line="480"/>
        <w:rPr>
          <w:rFonts w:ascii="Galliard" w:hAnsi="Galliard" w:cs="Galliard"/>
          <w:sz w:val="24"/>
          <w:lang w:eastAsia="en-US"/>
        </w:rPr>
      </w:pPr>
      <w:r>
        <w:rPr>
          <w:rFonts w:cs="Galliard" w:ascii="Galliard" w:hAnsi="Galliard"/>
          <w:sz w:val="24"/>
          <w:lang w:eastAsia="en-US"/>
        </w:rPr>
        <w:t xml:space="preserve">In adopting its proposed remedies, the Commission should make several modifications.  It must link its forward contracting reforms to adoption of parallel measures by the CPUC.  It must simplify the administration of and adopt narrow standards for implementing price mitigation under the “soft cap.”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fundamental problem this summer was not with over reliance on competitive markets, but, rather, with insufficient use of risk management tools that must be employed in volatile, competitive wholesale markets.  The problems experienced in California this past summer did not result from the wholesale market not working, for the wholesale market worked exactly as it would be expected to work.  The wholesale market performed as virtually every report on this summer’s events has indicated, responding directly to supply and demand fundamentals and the failure of load-serving entities to use the very risk-mitigating mechanisms that a competitive market affords.  The retail market however, did not function as well, exposing SDG&amp;E retail customers to the full volatility of the wholesale market.  </w:t>
      </w:r>
    </w:p>
    <w:p>
      <w:pPr>
        <w:pStyle w:val="Normal"/>
        <w:spacing w:lineRule="auto" w:line="480"/>
        <w:rPr>
          <w:rFonts w:ascii="Galliard" w:hAnsi="Galliard" w:cs="Galliard"/>
          <w:sz w:val="24"/>
          <w:lang w:eastAsia="en-US"/>
        </w:rPr>
      </w:pPr>
      <w:r>
        <w:rPr>
          <w:rFonts w:cs="Galliard" w:ascii="Galliard" w:hAnsi="Galliard"/>
          <w:sz w:val="24"/>
          <w:lang w:eastAsia="en-US"/>
        </w:rPr>
        <w:t xml:space="preserve">The Commission’s final order should clarify, therefore, that although the wholesale and retail markets operated in a way that resulted in high prices, the wholesale prices were not unjust and unreasonable.  Moreover, suppliers’ bids were not unjust and unreasonable because they may have exceeded marginal production costs, or even opportunity costs, or because market-clearing prices reached unusually high levels or fluctuated with greater volatility than had been previously experienced.  </w:t>
      </w:r>
    </w:p>
    <w:p>
      <w:pPr>
        <w:pStyle w:val="Normal"/>
        <w:spacing w:lineRule="auto" w:line="480"/>
        <w:rPr>
          <w:rFonts w:ascii="Galliard" w:hAnsi="Galliard" w:cs="Galliard"/>
          <w:sz w:val="24"/>
          <w:lang w:eastAsia="en-US"/>
        </w:rPr>
      </w:pPr>
      <w:r>
        <w:rPr>
          <w:rFonts w:cs="Galliard" w:ascii="Galliard" w:hAnsi="Galliard"/>
          <w:sz w:val="24"/>
          <w:lang w:eastAsia="en-US"/>
        </w:rPr>
        <w:t>Accordingly, the course forward should not be to pursue litigation over the level of this summer’s prices, but should be to implement structural reforms that will strengthen competitive wholesale and retail markets and, at the same time, provide investor owned utilities and retail consumers with the necessary tools to protect themselves during this important period of transition to fully competitive electricity markets in California.</w:t>
      </w:r>
    </w:p>
    <w:p>
      <w:pPr>
        <w:pStyle w:val="Normal"/>
        <w:spacing w:lineRule="auto" w:line="480"/>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t xml:space="preserve">Respectfully Submitted, </w:t>
      </w:r>
    </w:p>
    <w:p>
      <w:pPr>
        <w:pStyle w:val="Normal"/>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u w:val="single"/>
          <w:lang w:eastAsia="en-US"/>
        </w:rPr>
      </w:pPr>
      <w:r>
        <w:rPr>
          <w:rFonts w:cs="Galliard" w:ascii="Galliard" w:hAnsi="Galliard"/>
          <w:sz w:val="24"/>
          <w:u w:val="single"/>
          <w:lang w:eastAsia="en-US"/>
        </w:rPr>
        <w:tab/>
        <w:tab/>
        <w:tab/>
        <w:tab/>
        <w:tab/>
        <w:tab/>
      </w:r>
    </w:p>
    <w:p>
      <w:pPr>
        <w:pStyle w:val="Normal"/>
        <w:rPr>
          <w:rFonts w:ascii="Galliard" w:hAnsi="Galliard" w:cs="Galliard"/>
          <w:sz w:val="24"/>
          <w:lang w:eastAsia="en-US"/>
        </w:rPr>
      </w:pPr>
      <w:r>
        <w:rPr>
          <w:rFonts w:cs="Galliard" w:ascii="Galliard" w:hAnsi="Galliard"/>
          <w:sz w:val="24"/>
          <w:lang w:eastAsia="en-US"/>
        </w:rPr>
        <w:t>Larry F. Eisenstat</w:t>
      </w:r>
    </w:p>
    <w:p>
      <w:pPr>
        <w:pStyle w:val="Normal"/>
        <w:rPr>
          <w:rFonts w:ascii="Galliard" w:hAnsi="Galliard" w:cs="Galliard"/>
          <w:sz w:val="24"/>
          <w:lang w:eastAsia="en-US"/>
        </w:rPr>
      </w:pPr>
      <w:r>
        <w:rPr>
          <w:rFonts w:cs="Galliard" w:ascii="Galliard" w:hAnsi="Galliard"/>
          <w:sz w:val="24"/>
          <w:lang w:eastAsia="en-US"/>
        </w:rPr>
        <w:t>Mark L. Perlis</w:t>
      </w:r>
    </w:p>
    <w:p>
      <w:pPr>
        <w:pStyle w:val="Normal"/>
        <w:rPr>
          <w:rFonts w:ascii="Galliard" w:hAnsi="Galliard" w:cs="Galliard"/>
          <w:sz w:val="24"/>
          <w:lang w:eastAsia="en-US"/>
        </w:rPr>
      </w:pPr>
      <w:r>
        <w:rPr>
          <w:rFonts w:cs="Galliard" w:ascii="Galliard" w:hAnsi="Galliard"/>
          <w:sz w:val="24"/>
          <w:lang w:eastAsia="en-US"/>
        </w:rPr>
        <w:t>Robert C. Fallon</w:t>
      </w:r>
    </w:p>
    <w:p>
      <w:pPr>
        <w:pStyle w:val="Normal"/>
        <w:rPr>
          <w:rFonts w:ascii="Galliard" w:hAnsi="Galliard" w:cs="Galliard"/>
          <w:sz w:val="24"/>
          <w:lang w:eastAsia="en-US"/>
        </w:rPr>
      </w:pPr>
      <w:r>
        <w:rPr>
          <w:rFonts w:cs="Galliard" w:ascii="Galliard" w:hAnsi="Galliard"/>
          <w:sz w:val="24"/>
          <w:lang w:eastAsia="en-US"/>
        </w:rPr>
        <w:t>Dickstein Shapiro Morin &amp; Oshinsky LLP</w:t>
      </w:r>
    </w:p>
    <w:p>
      <w:pPr>
        <w:pStyle w:val="Normal"/>
        <w:rPr>
          <w:rFonts w:ascii="Galliard" w:hAnsi="Galliard" w:cs="Galliard"/>
          <w:sz w:val="24"/>
          <w:lang w:eastAsia="en-US"/>
        </w:rPr>
      </w:pPr>
      <w:r>
        <w:rPr>
          <w:rFonts w:cs="Galliard" w:ascii="Galliard" w:hAnsi="Galliard"/>
          <w:sz w:val="24"/>
          <w:lang w:eastAsia="en-US"/>
        </w:rPr>
        <w:t>2101 L. St., N.W.</w:t>
      </w:r>
    </w:p>
    <w:p>
      <w:pPr>
        <w:pStyle w:val="Normal"/>
        <w:rPr>
          <w:rFonts w:ascii="Galliard" w:hAnsi="Galliard" w:cs="Galliard"/>
          <w:sz w:val="24"/>
          <w:lang w:eastAsia="en-US"/>
        </w:rPr>
      </w:pPr>
      <w:r>
        <w:rPr>
          <w:rFonts w:cs="Galliard" w:ascii="Galliard" w:hAnsi="Galliard"/>
          <w:sz w:val="24"/>
          <w:lang w:eastAsia="en-US"/>
        </w:rPr>
        <w:t>Washington, D.C. 20037</w:t>
      </w:r>
    </w:p>
    <w:p>
      <w:pPr>
        <w:pStyle w:val="Normal"/>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t>Counsel for Duke Energy</w:t>
      </w:r>
    </w:p>
    <w:p>
      <w:pPr>
        <w:pStyle w:val="Normal"/>
        <w:rPr>
          <w:rFonts w:ascii="Galliard" w:hAnsi="Galliard" w:cs="Galliard"/>
          <w:sz w:val="24"/>
          <w:lang w:eastAsia="en-US"/>
        </w:rPr>
      </w:pPr>
      <w:r>
        <w:rPr>
          <w:rFonts w:cs="Galliard" w:ascii="Galliard" w:hAnsi="Galliard"/>
          <w:sz w:val="24"/>
          <w:lang w:eastAsia="en-US"/>
        </w:rPr>
      </w:r>
    </w:p>
    <w:p>
      <w:pPr>
        <w:pStyle w:val="Normal"/>
        <w:tabs>
          <w:tab w:val="clear" w:pos="720"/>
          <w:tab w:val="left" w:pos="0" w:leader="none"/>
        </w:tabs>
        <w:rPr>
          <w:rFonts w:ascii="Galliard" w:hAnsi="Galliard" w:cs="Galliard"/>
          <w:sz w:val="24"/>
          <w:lang w:eastAsia="en-US"/>
        </w:rPr>
      </w:pPr>
      <w:r>
        <w:rPr>
          <w:rFonts w:cs="Galliard" w:ascii="Galliard" w:hAnsi="Galliard"/>
          <w:sz w:val="24"/>
          <w:lang w:eastAsia="en-US"/>
        </w:rPr>
        <w:t>Dated:</w:t>
        <w:tab/>
        <w:t>November 22, 2000</w:t>
      </w:r>
      <w:r>
        <w:br w:type="page"/>
      </w:r>
    </w:p>
    <w:p>
      <w:pPr>
        <w:pStyle w:val="Normal"/>
        <w:tabs>
          <w:tab w:val="clear" w:pos="720"/>
          <w:tab w:val="left" w:pos="0" w:leader="none"/>
        </w:tabs>
        <w:jc w:val="center"/>
        <w:rPr>
          <w:rFonts w:ascii="Galliard" w:hAnsi="Galliard" w:cs="Galliard"/>
          <w:b/>
          <w:sz w:val="24"/>
          <w:u w:val="single"/>
          <w:lang w:eastAsia="en-US"/>
        </w:rPr>
      </w:pPr>
      <w:r>
        <w:rPr>
          <w:rFonts w:cs="Galliard" w:ascii="Galliard" w:hAnsi="Galliard"/>
          <w:b/>
          <w:sz w:val="24"/>
          <w:u w:val="single"/>
          <w:lang w:eastAsia="en-US"/>
        </w:rPr>
        <w:t>CERTIFICATE OF SERVICE</w:t>
      </w:r>
    </w:p>
    <w:p>
      <w:pPr>
        <w:pStyle w:val="Normal"/>
        <w:spacing w:lineRule="auto" w:line="480"/>
        <w:rPr>
          <w:rFonts w:ascii="Galliard" w:hAnsi="Galliard" w:cs="Galliard"/>
          <w:sz w:val="24"/>
          <w:lang w:eastAsia="en-US"/>
        </w:rPr>
      </w:pPr>
      <w:r>
        <w:rPr>
          <w:rFonts w:cs="Galliard" w:ascii="Galliard" w:hAnsi="Galliard"/>
          <w:sz w:val="24"/>
          <w:lang w:eastAsia="en-US"/>
        </w:rPr>
        <w:t>I hereby certify that I have served a copy of the foregoing Comments by Duke Energy by first class mail, postage prepaid, upon each person designated on the official service list compiled by the Secretary in this proceeding.</w:t>
      </w:r>
    </w:p>
    <w:p>
      <w:pPr>
        <w:pStyle w:val="Normal"/>
        <w:spacing w:lineRule="auto" w:line="480"/>
        <w:rPr/>
      </w:pPr>
      <w:r>
        <w:rPr>
          <w:rFonts w:cs="Galliard" w:ascii="Galliard" w:hAnsi="Galliard"/>
          <w:lang w:eastAsia="en-US"/>
        </w:rPr>
        <w:drawing>
          <wp:inline distT="0" distB="0" distL="0" distR="0">
            <wp:extent cx="52070" cy="5207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94" t="-694" r="-694" b="-694"/>
                    <a:stretch>
                      <a:fillRect/>
                    </a:stretch>
                  </pic:blipFill>
                  <pic:spPr bwMode="auto">
                    <a:xfrm>
                      <a:off x="0" y="0"/>
                      <a:ext cx="52070" cy="52070"/>
                    </a:xfrm>
                    <a:prstGeom prst="rect">
                      <a:avLst/>
                    </a:prstGeom>
                    <a:noFill/>
                  </pic:spPr>
                </pic:pic>
              </a:graphicData>
            </a:graphic>
          </wp:inline>
        </w:drawing>
      </w:r>
      <w:r>
        <w:rPr>
          <w:rFonts w:cs="Galliard" w:ascii="Galliard" w:hAnsi="Galliard"/>
          <w:sz w:val="24"/>
          <w:lang w:eastAsia="en-US"/>
        </w:rPr>
        <w:t>Dated at Washington, D.C., November 22, 2000.</w:t>
      </w:r>
    </w:p>
    <w:p>
      <w:pPr>
        <w:pStyle w:val="Normal"/>
        <w:spacing w:lineRule="auto" w:line="480"/>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r>
    </w:p>
    <w:p>
      <w:pPr>
        <w:pStyle w:val="Normal"/>
        <w:tabs>
          <w:tab w:val="clear" w:pos="720"/>
          <w:tab w:val="left" w:pos="4680" w:leader="none"/>
        </w:tabs>
        <w:ind w:start="4680" w:end="0"/>
        <w:rPr>
          <w:rFonts w:ascii="Galliard" w:hAnsi="Galliard" w:cs="Galliard"/>
          <w:sz w:val="24"/>
          <w:lang w:eastAsia="en-US"/>
        </w:rPr>
      </w:pPr>
      <w:r>
        <w:rPr>
          <w:rFonts w:cs="Galliard" w:ascii="Galliard" w:hAnsi="Galliard"/>
          <w:sz w:val="24"/>
          <w:lang w:eastAsia="en-US"/>
        </w:rPr>
        <w:t>_______________________________</w:t>
      </w:r>
    </w:p>
    <w:p>
      <w:pPr>
        <w:pStyle w:val="Normal"/>
        <w:tabs>
          <w:tab w:val="clear" w:pos="720"/>
          <w:tab w:val="left" w:pos="3960" w:leader="none"/>
        </w:tabs>
        <w:ind w:firstLine="720" w:start="3960" w:end="0"/>
        <w:rPr>
          <w:rFonts w:ascii="Galliard" w:hAnsi="Galliard" w:cs="Galliard"/>
          <w:sz w:val="24"/>
          <w:lang w:eastAsia="en-US"/>
        </w:rPr>
      </w:pPr>
      <w:r>
        <w:rPr>
          <w:rFonts w:cs="Galliard" w:ascii="Galliard" w:hAnsi="Galliard"/>
          <w:sz w:val="24"/>
          <w:lang w:eastAsia="en-US"/>
        </w:rPr>
        <w:t>Robert C. Fallon</w:t>
      </w:r>
    </w:p>
    <w:p>
      <w:pPr>
        <w:pStyle w:val="Normal"/>
        <w:tabs>
          <w:tab w:val="clear" w:pos="720"/>
          <w:tab w:val="left" w:pos="0" w:leader="none"/>
        </w:tabs>
        <w:spacing w:before="0" w:after="120"/>
        <w:rPr/>
      </w:pPr>
      <w:r>
        <w:rPr>
          <w:rFonts w:cs="Galliard" w:ascii="Galliard" w:hAnsi="Galliard"/>
          <w:lang w:eastAsia="en-US"/>
        </w:rPr>
        <w:drawing>
          <wp:inline distT="0" distB="0" distL="0" distR="0">
            <wp:extent cx="52070" cy="5207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94" t="-694" r="-694" b="-694"/>
                    <a:stretch>
                      <a:fillRect/>
                    </a:stretch>
                  </pic:blipFill>
                  <pic:spPr bwMode="auto">
                    <a:xfrm>
                      <a:off x="0" y="0"/>
                      <a:ext cx="52070" cy="52070"/>
                    </a:xfrm>
                    <a:prstGeom prst="rect">
                      <a:avLst/>
                    </a:prstGeom>
                    <a:noFill/>
                  </pic:spPr>
                </pic:pic>
              </a:graphicData>
            </a:graphic>
          </wp:inline>
        </w:drawing>
      </w:r>
      <w:r>
        <w:rPr>
          <w:rFonts w:eastAsia="Galliard" w:cs="Galliard" w:ascii="Galliard" w:hAnsi="Galliard"/>
          <w:sz w:val="24"/>
          <w:lang w:eastAsia="en-US"/>
        </w:rPr>
        <w:t xml:space="preserve"> </w:t>
      </w:r>
      <w:r>
        <w:rPr>
          <w:rFonts w:cs="Galliard" w:ascii="Galliard" w:hAnsi="Galliard"/>
          <w:sz w:val="24"/>
          <w:lang w:eastAsia="en-US"/>
        </w:rPr>
        <w:tab/>
        <w:t>93 FERC ¶ 61,121 (2000).  Page citations herein are to the slip opinion.</w:t>
      </w:r>
      <w:r>
        <w:br w:type="page"/>
      </w:r>
    </w:p>
    <w:p>
      <w:pPr>
        <w:pStyle w:val="Normal"/>
        <w:tabs>
          <w:tab w:val="clear" w:pos="720"/>
          <w:tab w:val="left" w:pos="0" w:leader="none"/>
        </w:tabs>
        <w:spacing w:before="0" w:after="120"/>
        <w:rPr/>
      </w:pPr>
      <w:r>
        <w:rPr>
          <w:rFonts w:cs="Galliard" w:ascii="Galliard" w:hAnsi="Galliard"/>
          <w:sz w:val="18"/>
          <w:vertAlign w:val="superscript"/>
          <w:lang w:eastAsia="en-US"/>
        </w:rPr>
        <w:t>1</w:t>
      </w:r>
      <w:r>
        <w:rPr>
          <w:rFonts w:cs="Galliard" w:ascii="Galliard" w:hAnsi="Galliard"/>
          <w:sz w:val="24"/>
          <w:lang w:eastAsia="en-US"/>
        </w:rPr>
        <w:t xml:space="preserve"> </w:t>
        <w:tab/>
        <w:t>Issued November 1, 2000 in conjunction with the Proposed Order.</w:t>
      </w:r>
    </w:p>
    <w:p>
      <w:pPr>
        <w:pStyle w:val="Normal"/>
        <w:tabs>
          <w:tab w:val="clear" w:pos="720"/>
          <w:tab w:val="left" w:pos="0" w:leader="none"/>
        </w:tabs>
        <w:spacing w:before="0" w:after="120"/>
        <w:rPr/>
      </w:pPr>
      <w:r>
        <w:rPr>
          <w:rFonts w:cs="Galliard" w:ascii="Galliard" w:hAnsi="Galliard"/>
          <w:sz w:val="18"/>
          <w:vertAlign w:val="superscript"/>
          <w:lang w:eastAsia="en-US"/>
        </w:rPr>
        <w:t>2</w:t>
      </w:r>
      <w:r>
        <w:rPr>
          <w:rFonts w:cs="Galliard" w:ascii="Galliard" w:hAnsi="Galliard"/>
          <w:sz w:val="24"/>
          <w:lang w:eastAsia="en-US"/>
        </w:rPr>
        <w:t xml:space="preserve"> </w:t>
        <w:tab/>
        <w:t xml:space="preserve">The Proposed Order implies such a conflict in stating:  “In developing the proposed remedies in this order, the Commission’s goal has been to balance, on the one hand, holding overall rates to levels that approximate competitive market levels for the benefit of consumers, with, on the other hand, inducing sufficient investment in capacity to ensure adequate service for the benefit of consumers.”  Proposed Order at 4.  The Commission should clarify that no suggestion of a conflict between these objectives was intended.  </w:t>
      </w:r>
    </w:p>
    <w:p>
      <w:pPr>
        <w:pStyle w:val="Normal"/>
        <w:tabs>
          <w:tab w:val="clear" w:pos="720"/>
          <w:tab w:val="left" w:pos="0" w:leader="none"/>
        </w:tabs>
        <w:spacing w:before="0" w:after="120"/>
        <w:rPr/>
      </w:pPr>
      <w:r>
        <w:rPr>
          <w:rFonts w:cs="Galliard" w:ascii="Galliard" w:hAnsi="Galliard"/>
          <w:sz w:val="18"/>
          <w:vertAlign w:val="superscript"/>
          <w:lang w:eastAsia="en-US"/>
        </w:rPr>
        <w:t>3</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at 4.</w:t>
      </w:r>
    </w:p>
    <w:p>
      <w:pPr>
        <w:pStyle w:val="Normal"/>
        <w:tabs>
          <w:tab w:val="clear" w:pos="720"/>
          <w:tab w:val="left" w:pos="0" w:leader="none"/>
        </w:tabs>
        <w:spacing w:before="0" w:after="120"/>
        <w:rPr/>
      </w:pPr>
      <w:r>
        <w:rPr>
          <w:rFonts w:cs="Galliard" w:ascii="Galliard" w:hAnsi="Galliard"/>
          <w:sz w:val="18"/>
          <w:vertAlign w:val="superscript"/>
          <w:lang w:eastAsia="en-US"/>
        </w:rPr>
        <w:t>4</w:t>
      </w:r>
      <w:r>
        <w:rPr>
          <w:rFonts w:cs="Galliard" w:ascii="Galliard" w:hAnsi="Galliard"/>
          <w:sz w:val="24"/>
          <w:lang w:eastAsia="en-US"/>
        </w:rPr>
        <w:t xml:space="preserve"> </w:t>
        <w:tab/>
        <w:t>Staff Report at 1-4.</w:t>
      </w:r>
    </w:p>
    <w:p>
      <w:pPr>
        <w:pStyle w:val="Normal"/>
        <w:tabs>
          <w:tab w:val="clear" w:pos="720"/>
          <w:tab w:val="left" w:pos="0" w:leader="none"/>
        </w:tabs>
        <w:spacing w:before="0" w:after="120"/>
        <w:rPr>
          <w:rFonts w:ascii="Galliard" w:hAnsi="Galliard" w:cs="Galliard"/>
          <w:sz w:val="24"/>
          <w:lang w:eastAsia="en-US"/>
        </w:rPr>
      </w:pPr>
      <w:r>
        <w:rPr>
          <w:rFonts w:cs="Galliard" w:ascii="Galliard" w:hAnsi="Galliard"/>
          <w:sz w:val="18"/>
          <w:vertAlign w:val="superscript"/>
          <w:lang w:eastAsia="en-US"/>
        </w:rPr>
        <w:t>5</w:t>
      </w:r>
      <w:r>
        <w:rPr>
          <w:rFonts w:cs="Galliard" w:ascii="Galliard" w:hAnsi="Galliard"/>
          <w:sz w:val="24"/>
          <w:lang w:eastAsia="en-US"/>
        </w:rPr>
        <w:t xml:space="preserve"> </w:t>
        <w:tab/>
        <w:t xml:space="preserve">Proposed Order at 3. While the Staff Report finds that some suppliers bid above their marginal costs, the Report also concludes that “the data do not isolate specific exercises of market power or suggest that the exercise of market power was more important than other primary explanatory factors.”  Staff Report at 1-4.  The Staff Report also found that “an examination of bid patterns in the PX and ISO replacement reserve markets and a review of ISO out of market purchase activity does not suggest substantial or sustained attempts to manipulate prices in these markets.”  </w:t>
      </w:r>
      <w:r>
        <w:rPr>
          <w:rFonts w:cs="Galliard" w:ascii="Galliard" w:hAnsi="Galliard"/>
          <w:i/>
          <w:sz w:val="24"/>
          <w:lang w:eastAsia="en-US"/>
        </w:rPr>
        <w:t>Id</w:t>
      </w:r>
      <w:r>
        <w:rPr>
          <w:rFonts w:cs="Galliard" w:ascii="Galliard" w:hAnsi="Galliard"/>
          <w:sz w:val="24"/>
          <w:lang w:eastAsia="en-US"/>
        </w:rPr>
        <w:t xml:space="preserve">. </w:t>
      </w:r>
      <w:r>
        <w:rPr>
          <w:rFonts w:cs="Galliard" w:ascii="Galliard" w:hAnsi="Galliard"/>
          <w:sz w:val="18"/>
          <w:vertAlign w:val="superscript"/>
          <w:lang w:eastAsia="en-US"/>
        </w:rPr>
        <w:t xml:space="preserve"> </w:t>
      </w:r>
    </w:p>
    <w:p>
      <w:pPr>
        <w:pStyle w:val="Normal"/>
        <w:tabs>
          <w:tab w:val="clear" w:pos="720"/>
          <w:tab w:val="left" w:pos="0" w:leader="none"/>
        </w:tabs>
        <w:spacing w:before="0" w:after="120"/>
        <w:rPr/>
      </w:pPr>
      <w:r>
        <w:rPr>
          <w:rFonts w:cs="Galliard" w:ascii="Galliard" w:hAnsi="Galliard"/>
          <w:sz w:val="18"/>
          <w:vertAlign w:val="superscript"/>
          <w:lang w:eastAsia="en-US"/>
        </w:rPr>
        <w:t>6</w:t>
        <w:tab/>
      </w:r>
      <w:r>
        <w:rPr>
          <w:rFonts w:cs="Galliard" w:ascii="Galliard" w:hAnsi="Galliard"/>
          <w:sz w:val="24"/>
          <w:lang w:eastAsia="en-US"/>
        </w:rPr>
        <w:t>Proposed Order at 3.</w:t>
      </w:r>
    </w:p>
    <w:p>
      <w:pPr>
        <w:pStyle w:val="Normal"/>
        <w:tabs>
          <w:tab w:val="clear" w:pos="720"/>
          <w:tab w:val="left" w:pos="0" w:leader="none"/>
        </w:tabs>
        <w:spacing w:before="0" w:after="120"/>
        <w:rPr/>
      </w:pPr>
      <w:r>
        <w:rPr>
          <w:rFonts w:cs="Galliard" w:ascii="Galliard" w:hAnsi="Galliard"/>
          <w:sz w:val="18"/>
          <w:vertAlign w:val="superscript"/>
          <w:lang w:eastAsia="en-US"/>
        </w:rPr>
        <w:t>7</w:t>
      </w:r>
      <w:r>
        <w:rPr>
          <w:rFonts w:cs="Galliard" w:ascii="Galliard" w:hAnsi="Galliard"/>
          <w:sz w:val="24"/>
          <w:lang w:eastAsia="en-US"/>
        </w:rPr>
        <w:t xml:space="preserve"> </w:t>
        <w:tab/>
        <w:t xml:space="preserve">Commissioner Massey’s concurring opinion suggests that the “[Proposed Order] finds the California wholesale market has produced wholesale prices for electricity that are unjust and unreasonable.”  Proposed Order, Massey concurring at 1.  This suggestion reads more generality into the findings of the Proposed Order than is necessary to sustain the corrective remedies to be ordered under Section 206 of the Federal Power Act.  The Commission’s final order can find that modification of the flawed market rules under Section 206 is justified because of the load-serving entities’ responses (both mandated and voluntary) to those rules.  But, the Commission’s final order need not and should not find that the overall level of wholesale prices was per force unjust and unreasonable. </w:t>
      </w:r>
    </w:p>
    <w:p>
      <w:pPr>
        <w:pStyle w:val="Normal"/>
        <w:tabs>
          <w:tab w:val="clear" w:pos="720"/>
          <w:tab w:val="left" w:pos="0" w:leader="none"/>
        </w:tabs>
        <w:spacing w:before="0" w:after="120"/>
        <w:rPr/>
      </w:pPr>
      <w:r>
        <w:rPr>
          <w:rFonts w:cs="Galliard" w:ascii="Galliard" w:hAnsi="Galliard"/>
          <w:sz w:val="18"/>
          <w:vertAlign w:val="superscript"/>
          <w:lang w:eastAsia="en-US"/>
        </w:rPr>
        <w:t>8</w:t>
      </w:r>
      <w:r>
        <w:rPr>
          <w:rFonts w:cs="Galliard" w:ascii="Galliard" w:hAnsi="Galliard"/>
          <w:sz w:val="24"/>
          <w:lang w:eastAsia="en-US"/>
        </w:rPr>
        <w:t xml:space="preserve"> </w:t>
        <w:tab/>
        <w:t xml:space="preserve">The Commission’s legal analysis correctly concludes that the Commission lacks statutory authority to entertain claims for refunds prior to the statutorily determined refund effective date.  See Proposed Order, App. E.  Duke Energy reserves its arguments for seeking rehearing of the Commission’s decision recognizing October 2, 2000 as the appropriate refund effective date.    </w:t>
      </w:r>
    </w:p>
    <w:p>
      <w:pPr>
        <w:pStyle w:val="Normal"/>
        <w:tabs>
          <w:tab w:val="clear" w:pos="720"/>
          <w:tab w:val="left" w:pos="0" w:leader="none"/>
        </w:tabs>
        <w:spacing w:before="0" w:after="120"/>
        <w:rPr/>
      </w:pPr>
      <w:r>
        <w:rPr>
          <w:rFonts w:cs="Galliard" w:ascii="Galliard" w:hAnsi="Galliard"/>
          <w:sz w:val="18"/>
          <w:vertAlign w:val="superscript"/>
          <w:lang w:eastAsia="en-US"/>
        </w:rPr>
        <w:t>9</w:t>
      </w:r>
      <w:r>
        <w:rPr>
          <w:rFonts w:cs="Galliard" w:ascii="Galliard" w:hAnsi="Galliard"/>
          <w:sz w:val="24"/>
          <w:lang w:eastAsia="en-US"/>
        </w:rPr>
        <w:t xml:space="preserve"> </w:t>
        <w:tab/>
        <w:t xml:space="preserve">One estimate is that, since 1997, Pacific Gas &amp; Electric Company (“PG&amp;E”) has collected more than $8.3 billion and Southern California Edison Company (“SCE”) has collected over $9.3 billion.  </w:t>
      </w:r>
      <w:r>
        <w:rPr>
          <w:rFonts w:cs="Galliard" w:ascii="Galliard" w:hAnsi="Galliard"/>
          <w:i/>
          <w:sz w:val="24"/>
          <w:lang w:eastAsia="en-US"/>
        </w:rPr>
        <w:t>Cooking the Books</w:t>
      </w:r>
      <w:r>
        <w:rPr>
          <w:rFonts w:cs="Galliard" w:ascii="Galliard" w:hAnsi="Galliard"/>
          <w:sz w:val="24"/>
          <w:lang w:eastAsia="en-US"/>
        </w:rPr>
        <w:t xml:space="preserve">, The Utility Reform Network, Oct. 18, 2000, p. 1.  SDG&amp;E collected through retail sales so much more than its wholesale electricity costs, and so quickly, that it was able to pay off all of its stranded costs early.  </w:t>
      </w:r>
    </w:p>
    <w:p>
      <w:pPr>
        <w:pStyle w:val="Normal"/>
        <w:tabs>
          <w:tab w:val="clear" w:pos="720"/>
          <w:tab w:val="left" w:pos="0" w:leader="none"/>
        </w:tabs>
        <w:spacing w:before="0" w:after="120"/>
        <w:rPr/>
      </w:pPr>
      <w:r>
        <w:rPr>
          <w:rFonts w:cs="Galliard" w:ascii="Galliard" w:hAnsi="Galliard"/>
          <w:sz w:val="18"/>
          <w:vertAlign w:val="superscript"/>
          <w:lang w:eastAsia="en-US"/>
        </w:rPr>
        <w:t>10</w:t>
      </w:r>
      <w:r>
        <w:rPr>
          <w:rFonts w:cs="Galliard" w:ascii="Galliard" w:hAnsi="Galliard"/>
          <w:sz w:val="24"/>
          <w:lang w:eastAsia="en-US"/>
        </w:rPr>
        <w:t xml:space="preserve"> </w:t>
        <w:tab/>
        <w:t>Staff Report at 1-2.</w:t>
      </w:r>
    </w:p>
    <w:p>
      <w:pPr>
        <w:pStyle w:val="Normal"/>
        <w:tabs>
          <w:tab w:val="clear" w:pos="720"/>
          <w:tab w:val="left" w:pos="0" w:leader="none"/>
        </w:tabs>
        <w:spacing w:before="0" w:after="120"/>
        <w:rPr/>
      </w:pPr>
      <w:r>
        <w:rPr>
          <w:rFonts w:cs="Galliard" w:ascii="Galliard" w:hAnsi="Galliard"/>
          <w:sz w:val="18"/>
          <w:vertAlign w:val="superscript"/>
          <w:lang w:eastAsia="en-US"/>
        </w:rPr>
        <w:t>11</w:t>
      </w:r>
      <w:r>
        <w:rPr>
          <w:rFonts w:cs="Galliard" w:ascii="Galliard" w:hAnsi="Galliard"/>
          <w:sz w:val="24"/>
          <w:lang w:eastAsia="en-US"/>
        </w:rPr>
        <w:t xml:space="preserve"> </w:t>
        <w:tab/>
        <w:t>Among these attractive proposals, which Duke Energy supports, are (i) abolishing the PX buy-sell requirement imposed on California investor-owned utilities (“IOUs”), (ii) allowing California IOUs to be their own scheduling coordinator, (iii) authorizing California IOUs to pursue portfolios of long and short-term resources and to access any wholesale market, whether bilateral, run by the PX, or by other exchanges, such as the Automated Power Exchange, Inc., (iv) limiting the ISO to reliability functions rather than running an energy market, (v) imposing a penalty charge on loads that deviate more than 5 percent for each hour, and (vi) limiting suppliers who participate in the real-time market to either a capacity payment for replacement reserves or energy payments, but not both.  Proposed Order at 27.</w:t>
      </w:r>
    </w:p>
    <w:p>
      <w:pPr>
        <w:pStyle w:val="Normal"/>
        <w:tabs>
          <w:tab w:val="clear" w:pos="720"/>
          <w:tab w:val="left" w:pos="0" w:leader="none"/>
        </w:tabs>
        <w:spacing w:before="0" w:after="120"/>
        <w:rPr/>
      </w:pPr>
      <w:r>
        <w:rPr>
          <w:rFonts w:cs="Galliard" w:ascii="Galliard" w:hAnsi="Galliard"/>
          <w:sz w:val="18"/>
          <w:vertAlign w:val="superscript"/>
          <w:lang w:eastAsia="en-US"/>
        </w:rPr>
        <w:t>12</w:t>
      </w:r>
      <w:r>
        <w:rPr>
          <w:rFonts w:cs="Galliard" w:ascii="Galliard" w:hAnsi="Galliard"/>
          <w:sz w:val="24"/>
          <w:lang w:eastAsia="en-US"/>
        </w:rPr>
        <w:t xml:space="preserve"> </w:t>
        <w:tab/>
        <w:t>Although this project faced virtually no public opposition and received excellent cooperation from State permitting authorities, the approval process lasted 17 months.</w:t>
      </w:r>
    </w:p>
    <w:p>
      <w:pPr>
        <w:pStyle w:val="Normal"/>
        <w:tabs>
          <w:tab w:val="clear" w:pos="720"/>
          <w:tab w:val="left" w:pos="0" w:leader="none"/>
        </w:tabs>
        <w:spacing w:before="0" w:after="120"/>
        <w:rPr/>
      </w:pPr>
      <w:r>
        <w:rPr>
          <w:rFonts w:cs="Galliard" w:ascii="Galliard" w:hAnsi="Galliard"/>
          <w:sz w:val="18"/>
          <w:vertAlign w:val="superscript"/>
          <w:lang w:eastAsia="en-US"/>
        </w:rPr>
        <w:t>13</w:t>
      </w:r>
      <w:r>
        <w:rPr>
          <w:rFonts w:cs="Galliard" w:ascii="Galliard" w:hAnsi="Galliard"/>
          <w:sz w:val="24"/>
          <w:lang w:eastAsia="en-US"/>
        </w:rPr>
        <w:t xml:space="preserve"> </w:t>
        <w:tab/>
        <w:t>This fixed price escalation feature would result in a price of $60.00 in 2001, $61.80 in 2002, etc.</w:t>
      </w:r>
    </w:p>
    <w:p>
      <w:pPr>
        <w:pStyle w:val="Normal"/>
        <w:tabs>
          <w:tab w:val="clear" w:pos="720"/>
          <w:tab w:val="left" w:pos="0" w:leader="none"/>
        </w:tabs>
        <w:spacing w:before="0" w:after="120"/>
        <w:rPr/>
      </w:pPr>
      <w:r>
        <w:rPr>
          <w:rFonts w:cs="Galliard" w:ascii="Galliard" w:hAnsi="Galliard"/>
          <w:sz w:val="18"/>
          <w:vertAlign w:val="superscript"/>
          <w:lang w:eastAsia="en-US"/>
        </w:rPr>
        <w:t>14</w:t>
      </w:r>
      <w:r>
        <w:rPr>
          <w:rFonts w:cs="Galliard" w:ascii="Galliard" w:hAnsi="Galliard"/>
          <w:sz w:val="24"/>
          <w:lang w:eastAsia="en-US"/>
        </w:rPr>
        <w:t xml:space="preserve"> </w:t>
        <w:tab/>
      </w:r>
      <w:r>
        <w:rPr>
          <w:rFonts w:cs="Galliard" w:ascii="Galliard" w:hAnsi="Galliard"/>
          <w:i/>
          <w:sz w:val="24"/>
          <w:lang w:eastAsia="en-US"/>
        </w:rPr>
        <w:t>Price Movements in California Electricity Markets, Analysis of Price Activity:  May-September 2000</w:t>
      </w:r>
      <w:r>
        <w:rPr>
          <w:rFonts w:cs="Galliard" w:ascii="Galliard" w:hAnsi="Galliard"/>
          <w:sz w:val="24"/>
          <w:lang w:eastAsia="en-US"/>
        </w:rPr>
        <w:t xml:space="preserve">, California Power Exchange Corporation Compliance Unit, Nov. 1, 2000 (“PX Report”); </w:t>
      </w:r>
      <w:r>
        <w:rPr>
          <w:rFonts w:cs="Galliard" w:ascii="Galliard" w:hAnsi="Galliard"/>
          <w:i/>
          <w:sz w:val="24"/>
          <w:lang w:eastAsia="en-US"/>
        </w:rPr>
        <w:t>An Analysis of the June 2000 Price Spikes in the California ISO’s Energy and Ancillary Services Markets</w:t>
      </w:r>
      <w:r>
        <w:rPr>
          <w:rFonts w:cs="Galliard" w:ascii="Galliard" w:hAnsi="Galliard"/>
          <w:sz w:val="24"/>
          <w:lang w:eastAsia="en-US"/>
        </w:rPr>
        <w:t>, California Independent System Operator Market Surveillance Committee, Sept. 6, 2000.</w:t>
      </w:r>
    </w:p>
    <w:p>
      <w:pPr>
        <w:pStyle w:val="Normal"/>
        <w:tabs>
          <w:tab w:val="clear" w:pos="720"/>
          <w:tab w:val="left" w:pos="0" w:leader="none"/>
        </w:tabs>
        <w:spacing w:before="0" w:after="120"/>
        <w:rPr/>
      </w:pPr>
      <w:r>
        <w:rPr>
          <w:rFonts w:cs="Galliard" w:ascii="Galliard" w:hAnsi="Galliard"/>
          <w:sz w:val="18"/>
          <w:vertAlign w:val="superscript"/>
          <w:lang w:eastAsia="en-US"/>
        </w:rPr>
        <w:t>15</w:t>
      </w:r>
      <w:r>
        <w:rPr>
          <w:rFonts w:cs="Galliard" w:ascii="Galliard" w:hAnsi="Galliard"/>
          <w:sz w:val="24"/>
          <w:lang w:eastAsia="en-US"/>
        </w:rPr>
        <w:t xml:space="preserve"> </w:t>
        <w:tab/>
        <w:t xml:space="preserve">The Staff Report documents that California load increased by 13.7 percent in June 2000 relative to June 1999, and load elsewhere in the West increased by 7.3 percent over the same period.  Staff Report at 2-11.  These increases in load were not accompanied by coincident peaks in all markets throughout the WSCC region, including California.  Had coincident peaks been experienced, the strains on reliability of the entire Western grid would have been severe, and there would likely have been widespread brownouts and blackouts. </w:t>
      </w:r>
    </w:p>
    <w:p>
      <w:pPr>
        <w:pStyle w:val="Normal"/>
        <w:tabs>
          <w:tab w:val="clear" w:pos="720"/>
          <w:tab w:val="left" w:pos="0" w:leader="none"/>
        </w:tabs>
        <w:spacing w:before="0" w:after="120"/>
        <w:rPr/>
      </w:pPr>
      <w:r>
        <w:rPr>
          <w:rFonts w:cs="Galliard" w:ascii="Galliard" w:hAnsi="Galliard"/>
          <w:sz w:val="18"/>
          <w:vertAlign w:val="superscript"/>
          <w:lang w:eastAsia="en-US"/>
        </w:rPr>
        <w:t>16</w:t>
      </w:r>
      <w:r>
        <w:rPr>
          <w:rFonts w:cs="Galliard" w:ascii="Galliard" w:hAnsi="Galliard"/>
          <w:sz w:val="24"/>
          <w:lang w:eastAsia="en-US"/>
        </w:rPr>
        <w:t xml:space="preserve"> </w:t>
        <w:tab/>
        <w:t xml:space="preserve">Generally since divestitures, Duke Energy’s facilities, and possibly those operated by other purchasers, have been operated at availability factors higher than those achieved in the years immediately prior to the divestitures.  In fact, the high levels of capacity utilization that have been achieved have caused certain units to bump up against environmental limitations, requiring a curbing of output.  </w:t>
      </w:r>
    </w:p>
    <w:p>
      <w:pPr>
        <w:pStyle w:val="Normal"/>
        <w:tabs>
          <w:tab w:val="clear" w:pos="720"/>
          <w:tab w:val="left" w:pos="0" w:leader="none"/>
        </w:tabs>
        <w:spacing w:before="0" w:after="120"/>
        <w:rPr/>
      </w:pPr>
      <w:r>
        <w:rPr>
          <w:rFonts w:cs="Galliard" w:ascii="Galliard" w:hAnsi="Galliard"/>
          <w:sz w:val="18"/>
          <w:vertAlign w:val="superscript"/>
          <w:lang w:eastAsia="en-US"/>
        </w:rPr>
        <w:t>17</w:t>
      </w:r>
      <w:r>
        <w:rPr>
          <w:rFonts w:cs="Galliard" w:ascii="Galliard" w:hAnsi="Galliard"/>
          <w:sz w:val="24"/>
          <w:lang w:eastAsia="en-US"/>
        </w:rPr>
        <w:t xml:space="preserve"> </w:t>
        <w:tab/>
        <w:t>Staff Report at 3-20, 3-21.</w:t>
      </w:r>
    </w:p>
    <w:p>
      <w:pPr>
        <w:pStyle w:val="Normal"/>
        <w:tabs>
          <w:tab w:val="clear" w:pos="720"/>
          <w:tab w:val="left" w:pos="0" w:leader="none"/>
        </w:tabs>
        <w:spacing w:before="0" w:after="120"/>
        <w:rPr/>
      </w:pPr>
      <w:r>
        <w:rPr>
          <w:rFonts w:cs="Galliard" w:ascii="Galliard" w:hAnsi="Galliard"/>
          <w:sz w:val="18"/>
          <w:vertAlign w:val="superscript"/>
          <w:lang w:eastAsia="en-US"/>
        </w:rPr>
        <w:t>18</w:t>
      </w:r>
      <w:r>
        <w:rPr>
          <w:rFonts w:cs="Galliard" w:ascii="Galliard" w:hAnsi="Galliard"/>
          <w:sz w:val="24"/>
          <w:lang w:eastAsia="en-US"/>
        </w:rPr>
        <w:t xml:space="preserve"> </w:t>
        <w:tab/>
        <w:t>PX Report at 25.</w:t>
      </w:r>
    </w:p>
    <w:p>
      <w:pPr>
        <w:pStyle w:val="Normal"/>
        <w:tabs>
          <w:tab w:val="clear" w:pos="720"/>
          <w:tab w:val="left" w:pos="0" w:leader="none"/>
        </w:tabs>
        <w:spacing w:before="0" w:after="120"/>
        <w:rPr/>
      </w:pPr>
      <w:r>
        <w:rPr>
          <w:rFonts w:cs="Galliard" w:ascii="Galliard" w:hAnsi="Galliard"/>
          <w:sz w:val="18"/>
          <w:vertAlign w:val="superscript"/>
          <w:lang w:eastAsia="en-US"/>
        </w:rPr>
        <w:t>19</w:t>
      </w:r>
      <w:r>
        <w:rPr>
          <w:rFonts w:cs="Galliard" w:ascii="Galliard" w:hAnsi="Galliard"/>
          <w:sz w:val="24"/>
          <w:lang w:eastAsia="en-US"/>
        </w:rPr>
        <w:t xml:space="preserve"> </w:t>
        <w:tab/>
        <w:t>Staff Report at 3-20, 3-21.</w:t>
      </w:r>
    </w:p>
    <w:p>
      <w:pPr>
        <w:pStyle w:val="Normal"/>
        <w:tabs>
          <w:tab w:val="clear" w:pos="720"/>
          <w:tab w:val="left" w:pos="0" w:leader="none"/>
        </w:tabs>
        <w:spacing w:before="0" w:after="120"/>
        <w:rPr/>
      </w:pPr>
      <w:r>
        <w:rPr>
          <w:rFonts w:cs="Galliard" w:ascii="Galliard" w:hAnsi="Galliard"/>
          <w:sz w:val="18"/>
          <w:vertAlign w:val="superscript"/>
          <w:lang w:eastAsia="en-US"/>
        </w:rPr>
        <w:t>20</w:t>
      </w:r>
      <w:r>
        <w:rPr>
          <w:rFonts w:cs="Galliard" w:ascii="Galliard" w:hAnsi="Galliard"/>
          <w:sz w:val="24"/>
          <w:lang w:eastAsia="en-US"/>
        </w:rPr>
        <w:t xml:space="preserve"> </w:t>
        <w:tab/>
        <w:t>Id. at 3-21 n.13 (emphasis added).</w:t>
      </w:r>
    </w:p>
    <w:p>
      <w:pPr>
        <w:pStyle w:val="Normal"/>
        <w:tabs>
          <w:tab w:val="clear" w:pos="720"/>
          <w:tab w:val="left" w:pos="0" w:leader="none"/>
        </w:tabs>
        <w:spacing w:before="0" w:after="120"/>
        <w:rPr/>
      </w:pPr>
      <w:r>
        <w:rPr>
          <w:rFonts w:cs="Galliard" w:ascii="Galliard" w:hAnsi="Galliard"/>
          <w:sz w:val="18"/>
          <w:vertAlign w:val="superscript"/>
          <w:lang w:eastAsia="en-US"/>
        </w:rPr>
        <w:t>21</w:t>
      </w:r>
      <w:r>
        <w:rPr>
          <w:rFonts w:cs="Galliard" w:ascii="Galliard" w:hAnsi="Galliard"/>
          <w:sz w:val="24"/>
          <w:lang w:eastAsia="en-US"/>
        </w:rPr>
        <w:t xml:space="preserve"> </w:t>
        <w:tab/>
        <w:t>PX Report at 30 (emphasis added).</w:t>
      </w:r>
    </w:p>
    <w:p>
      <w:pPr>
        <w:pStyle w:val="Normal"/>
        <w:tabs>
          <w:tab w:val="clear" w:pos="720"/>
          <w:tab w:val="left" w:pos="0" w:leader="none"/>
        </w:tabs>
        <w:spacing w:before="0" w:after="120"/>
        <w:rPr/>
      </w:pPr>
      <w:r>
        <w:rPr>
          <w:rFonts w:cs="Galliard" w:ascii="Galliard" w:hAnsi="Galliard"/>
          <w:sz w:val="18"/>
          <w:vertAlign w:val="superscript"/>
          <w:lang w:eastAsia="en-US"/>
        </w:rPr>
        <w:t>22</w:t>
      </w:r>
      <w:r>
        <w:rPr>
          <w:rFonts w:cs="Galliard" w:ascii="Galliard" w:hAnsi="Galliard"/>
          <w:sz w:val="24"/>
          <w:lang w:eastAsia="en-US"/>
        </w:rPr>
        <w:t xml:space="preserve"> </w:t>
        <w:tab/>
        <w:t>PX Report at 26.</w:t>
      </w:r>
    </w:p>
    <w:p>
      <w:pPr>
        <w:pStyle w:val="Normal"/>
        <w:tabs>
          <w:tab w:val="clear" w:pos="720"/>
          <w:tab w:val="left" w:pos="0" w:leader="none"/>
        </w:tabs>
        <w:spacing w:before="0" w:after="120"/>
        <w:rPr/>
      </w:pPr>
      <w:r>
        <w:rPr>
          <w:rFonts w:cs="Galliard" w:ascii="Galliard" w:hAnsi="Galliard"/>
          <w:sz w:val="18"/>
          <w:vertAlign w:val="superscript"/>
          <w:lang w:eastAsia="en-US"/>
        </w:rPr>
        <w:t>23</w:t>
      </w:r>
      <w:r>
        <w:rPr>
          <w:rFonts w:cs="Galliard" w:ascii="Galliard" w:hAnsi="Galliard"/>
          <w:sz w:val="24"/>
          <w:lang w:eastAsia="en-US"/>
        </w:rPr>
        <w:t xml:space="preserve"> </w:t>
        <w:tab/>
        <w:t>PX Report at 14.</w:t>
      </w:r>
    </w:p>
    <w:p>
      <w:pPr>
        <w:pStyle w:val="Normal"/>
        <w:tabs>
          <w:tab w:val="clear" w:pos="720"/>
          <w:tab w:val="left" w:pos="0" w:leader="none"/>
        </w:tabs>
        <w:spacing w:before="0" w:after="120"/>
        <w:rPr/>
      </w:pPr>
      <w:r>
        <w:rPr>
          <w:rFonts w:cs="Galliard" w:ascii="Galliard" w:hAnsi="Galliard"/>
          <w:sz w:val="18"/>
          <w:vertAlign w:val="superscript"/>
          <w:lang w:eastAsia="en-US"/>
        </w:rPr>
        <w:t>24</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w:t>
      </w:r>
    </w:p>
    <w:p>
      <w:pPr>
        <w:pStyle w:val="Normal"/>
        <w:tabs>
          <w:tab w:val="clear" w:pos="720"/>
          <w:tab w:val="left" w:pos="0" w:leader="none"/>
        </w:tabs>
        <w:spacing w:before="0" w:after="120"/>
        <w:rPr/>
      </w:pPr>
      <w:r>
        <w:rPr>
          <w:rFonts w:cs="Galliard" w:ascii="Galliard" w:hAnsi="Galliard"/>
          <w:sz w:val="18"/>
          <w:vertAlign w:val="superscript"/>
          <w:lang w:eastAsia="en-US"/>
        </w:rPr>
        <w:t>25</w:t>
      </w:r>
      <w:r>
        <w:rPr>
          <w:rFonts w:cs="Galliard" w:ascii="Galliard" w:hAnsi="Galliard"/>
          <w:sz w:val="24"/>
          <w:lang w:eastAsia="en-US"/>
        </w:rPr>
        <w:t xml:space="preserve"> </w:t>
        <w:tab/>
        <w:t>Staff Report at 2-12.</w:t>
      </w:r>
    </w:p>
    <w:p>
      <w:pPr>
        <w:pStyle w:val="Normal"/>
        <w:tabs>
          <w:tab w:val="clear" w:pos="720"/>
          <w:tab w:val="left" w:pos="0" w:leader="none"/>
        </w:tabs>
        <w:spacing w:before="0" w:after="120"/>
        <w:rPr/>
      </w:pPr>
      <w:r>
        <w:rPr>
          <w:rFonts w:cs="Galliard" w:ascii="Galliard" w:hAnsi="Galliard"/>
          <w:sz w:val="18"/>
          <w:vertAlign w:val="superscript"/>
          <w:lang w:eastAsia="en-US"/>
        </w:rPr>
        <w:t>26</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at 2-13.</w:t>
      </w:r>
    </w:p>
    <w:p>
      <w:pPr>
        <w:pStyle w:val="Normal"/>
        <w:tabs>
          <w:tab w:val="clear" w:pos="720"/>
          <w:tab w:val="left" w:pos="0" w:leader="none"/>
        </w:tabs>
        <w:spacing w:before="0" w:after="120"/>
        <w:rPr/>
      </w:pPr>
      <w:r>
        <w:rPr>
          <w:rFonts w:cs="Galliard" w:ascii="Galliard" w:hAnsi="Galliard"/>
          <w:sz w:val="18"/>
          <w:vertAlign w:val="superscript"/>
          <w:lang w:eastAsia="en-US"/>
        </w:rPr>
        <w:t>27</w:t>
      </w:r>
      <w:r>
        <w:rPr>
          <w:rFonts w:cs="Galliard" w:ascii="Galliard" w:hAnsi="Galliard"/>
          <w:sz w:val="24"/>
          <w:lang w:eastAsia="en-US"/>
        </w:rPr>
        <w:t xml:space="preserve"> </w:t>
        <w:tab/>
        <w:t xml:space="preserve">PX Report at 16 (Table 2).  At the same time, the WSCC forecast margins for the Desert Southwest region as being somewhat tighter, in the range of 13-14 percent for June through September.  </w:t>
      </w:r>
      <w:r>
        <w:rPr>
          <w:rFonts w:cs="Galliard" w:ascii="Galliard" w:hAnsi="Galliard"/>
          <w:i/>
          <w:sz w:val="24"/>
          <w:lang w:eastAsia="en-US"/>
        </w:rPr>
        <w:t>Id</w:t>
      </w:r>
      <w:r>
        <w:rPr>
          <w:rFonts w:cs="Galliard" w:ascii="Galliard" w:hAnsi="Galliard"/>
          <w:sz w:val="24"/>
          <w:lang w:eastAsia="en-US"/>
        </w:rPr>
        <w:t>. at 17 (Table 3).</w:t>
      </w:r>
    </w:p>
    <w:p>
      <w:pPr>
        <w:pStyle w:val="Normal"/>
        <w:tabs>
          <w:tab w:val="clear" w:pos="720"/>
          <w:tab w:val="left" w:pos="0" w:leader="none"/>
        </w:tabs>
        <w:spacing w:before="0" w:after="120"/>
        <w:rPr/>
      </w:pPr>
      <w:r>
        <w:rPr>
          <w:rFonts w:cs="Galliard" w:ascii="Galliard" w:hAnsi="Galliard"/>
          <w:sz w:val="18"/>
          <w:vertAlign w:val="superscript"/>
          <w:lang w:eastAsia="en-US"/>
        </w:rPr>
        <w:t>28</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(Figure 10).</w:t>
      </w:r>
    </w:p>
    <w:p>
      <w:pPr>
        <w:pStyle w:val="Normal"/>
        <w:tabs>
          <w:tab w:val="clear" w:pos="720"/>
          <w:tab w:val="left" w:pos="0" w:leader="none"/>
        </w:tabs>
        <w:spacing w:before="0" w:after="120"/>
        <w:rPr/>
      </w:pPr>
      <w:r>
        <w:rPr>
          <w:rFonts w:cs="Galliard" w:ascii="Galliard" w:hAnsi="Galliard"/>
          <w:sz w:val="18"/>
          <w:vertAlign w:val="superscript"/>
          <w:lang w:eastAsia="en-US"/>
        </w:rPr>
        <w:t>29</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at 18.</w:t>
      </w:r>
    </w:p>
    <w:p>
      <w:pPr>
        <w:pStyle w:val="Normal"/>
        <w:tabs>
          <w:tab w:val="clear" w:pos="720"/>
          <w:tab w:val="left" w:pos="0" w:leader="none"/>
        </w:tabs>
        <w:spacing w:before="0" w:after="120"/>
        <w:rPr/>
      </w:pPr>
      <w:r>
        <w:rPr>
          <w:rFonts w:cs="Galliard" w:ascii="Galliard" w:hAnsi="Galliard"/>
          <w:sz w:val="18"/>
          <w:vertAlign w:val="superscript"/>
          <w:lang w:eastAsia="en-US"/>
        </w:rPr>
        <w:t>30</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at 20.</w:t>
      </w:r>
    </w:p>
    <w:p>
      <w:pPr>
        <w:pStyle w:val="Normal"/>
        <w:tabs>
          <w:tab w:val="clear" w:pos="720"/>
          <w:tab w:val="left" w:pos="0" w:leader="none"/>
        </w:tabs>
        <w:spacing w:before="0" w:after="120"/>
        <w:rPr/>
      </w:pPr>
      <w:r>
        <w:rPr>
          <w:rFonts w:cs="Galliard" w:ascii="Galliard" w:hAnsi="Galliard"/>
          <w:sz w:val="18"/>
          <w:vertAlign w:val="superscript"/>
          <w:lang w:eastAsia="en-US"/>
        </w:rPr>
        <w:t>31</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w:t>
      </w:r>
    </w:p>
    <w:p>
      <w:pPr>
        <w:pStyle w:val="Normal"/>
        <w:tabs>
          <w:tab w:val="clear" w:pos="720"/>
          <w:tab w:val="left" w:pos="0" w:leader="none"/>
        </w:tabs>
        <w:spacing w:before="0" w:after="120"/>
        <w:rPr/>
      </w:pPr>
      <w:r>
        <w:rPr>
          <w:rFonts w:cs="Galliard" w:ascii="Galliard" w:hAnsi="Galliard"/>
          <w:sz w:val="18"/>
          <w:vertAlign w:val="superscript"/>
          <w:lang w:eastAsia="en-US"/>
        </w:rPr>
        <w:t>32</w:t>
      </w:r>
      <w:r>
        <w:rPr>
          <w:rFonts w:cs="Galliard" w:ascii="Galliard" w:hAnsi="Galliard"/>
          <w:sz w:val="24"/>
          <w:lang w:eastAsia="en-US"/>
        </w:rPr>
        <w:t xml:space="preserve"> </w:t>
        <w:tab/>
        <w:t>PX Report at 23.</w:t>
      </w:r>
    </w:p>
    <w:p>
      <w:pPr>
        <w:pStyle w:val="Normal"/>
        <w:tabs>
          <w:tab w:val="clear" w:pos="720"/>
          <w:tab w:val="left" w:pos="0" w:leader="none"/>
        </w:tabs>
        <w:spacing w:before="0" w:after="120"/>
        <w:rPr/>
      </w:pPr>
      <w:r>
        <w:rPr>
          <w:rFonts w:cs="Galliard" w:ascii="Galliard" w:hAnsi="Galliard"/>
          <w:sz w:val="18"/>
          <w:vertAlign w:val="superscript"/>
          <w:lang w:eastAsia="en-US"/>
        </w:rPr>
        <w:t>33</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xml:space="preserve">.  </w:t>
      </w:r>
    </w:p>
    <w:p>
      <w:pPr>
        <w:pStyle w:val="Normal"/>
        <w:tabs>
          <w:tab w:val="clear" w:pos="720"/>
          <w:tab w:val="left" w:pos="0" w:leader="none"/>
        </w:tabs>
        <w:spacing w:before="0" w:after="120"/>
        <w:rPr/>
      </w:pPr>
      <w:r>
        <w:rPr>
          <w:rFonts w:cs="Galliard" w:ascii="Galliard" w:hAnsi="Galliard"/>
          <w:sz w:val="18"/>
          <w:vertAlign w:val="superscript"/>
          <w:lang w:eastAsia="en-US"/>
        </w:rPr>
        <w:t>34</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at 15.</w:t>
      </w:r>
    </w:p>
    <w:p>
      <w:pPr>
        <w:pStyle w:val="Normal"/>
        <w:tabs>
          <w:tab w:val="clear" w:pos="720"/>
          <w:tab w:val="left" w:pos="0" w:leader="none"/>
        </w:tabs>
        <w:spacing w:before="0" w:after="120"/>
        <w:rPr/>
      </w:pPr>
      <w:r>
        <w:rPr>
          <w:rFonts w:cs="Galliard" w:ascii="Galliard" w:hAnsi="Galliard"/>
          <w:sz w:val="18"/>
          <w:vertAlign w:val="superscript"/>
          <w:lang w:eastAsia="en-US"/>
        </w:rPr>
        <w:t>35</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xml:space="preserve">. </w:t>
      </w:r>
    </w:p>
    <w:p>
      <w:pPr>
        <w:pStyle w:val="Normal"/>
        <w:tabs>
          <w:tab w:val="clear" w:pos="720"/>
          <w:tab w:val="left" w:pos="0" w:leader="none"/>
        </w:tabs>
        <w:spacing w:before="0" w:after="120"/>
        <w:rPr/>
      </w:pPr>
      <w:r>
        <w:rPr>
          <w:rFonts w:cs="Galliard" w:ascii="Galliard" w:hAnsi="Galliard"/>
          <w:sz w:val="18"/>
          <w:vertAlign w:val="superscript"/>
          <w:lang w:eastAsia="en-US"/>
        </w:rPr>
        <w:t>36</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at 16.</w:t>
      </w:r>
    </w:p>
    <w:p>
      <w:pPr>
        <w:pStyle w:val="Normal"/>
        <w:tabs>
          <w:tab w:val="clear" w:pos="720"/>
          <w:tab w:val="left" w:pos="0" w:leader="none"/>
        </w:tabs>
        <w:spacing w:before="0" w:after="120"/>
        <w:rPr/>
      </w:pPr>
      <w:r>
        <w:rPr>
          <w:rFonts w:cs="Galliard" w:ascii="Galliard" w:hAnsi="Galliard"/>
          <w:sz w:val="18"/>
          <w:vertAlign w:val="superscript"/>
          <w:lang w:eastAsia="en-US"/>
        </w:rPr>
        <w:t>37</w:t>
      </w:r>
      <w:r>
        <w:rPr>
          <w:rFonts w:cs="Galliard" w:ascii="Galliard" w:hAnsi="Galliard"/>
          <w:sz w:val="24"/>
          <w:lang w:eastAsia="en-US"/>
        </w:rPr>
        <w:t xml:space="preserve"> </w:t>
        <w:tab/>
        <w:t xml:space="preserve">Staff Report at 3-15.  </w:t>
      </w:r>
    </w:p>
    <w:p>
      <w:pPr>
        <w:pStyle w:val="Normal"/>
        <w:tabs>
          <w:tab w:val="clear" w:pos="720"/>
          <w:tab w:val="left" w:pos="0" w:leader="none"/>
        </w:tabs>
        <w:spacing w:before="0" w:after="120"/>
        <w:rPr/>
      </w:pPr>
      <w:r>
        <w:rPr>
          <w:rFonts w:cs="Galliard" w:ascii="Galliard" w:hAnsi="Galliard"/>
          <w:sz w:val="18"/>
          <w:vertAlign w:val="superscript"/>
          <w:lang w:eastAsia="en-US"/>
        </w:rPr>
        <w:t>38</w:t>
      </w:r>
      <w:r>
        <w:rPr>
          <w:rFonts w:cs="Galliard" w:ascii="Galliard" w:hAnsi="Galliard"/>
          <w:sz w:val="24"/>
          <w:lang w:eastAsia="en-US"/>
        </w:rPr>
        <w:t xml:space="preserve"> </w:t>
        <w:tab/>
        <w:t>PX Report at 33 (Table 4).</w:t>
      </w:r>
    </w:p>
    <w:p>
      <w:pPr>
        <w:pStyle w:val="Normal"/>
        <w:tabs>
          <w:tab w:val="clear" w:pos="720"/>
          <w:tab w:val="left" w:pos="0" w:leader="none"/>
        </w:tabs>
        <w:spacing w:before="0" w:after="120"/>
        <w:rPr/>
      </w:pPr>
      <w:r>
        <w:rPr>
          <w:rFonts w:cs="Galliard" w:ascii="Galliard" w:hAnsi="Galliard"/>
          <w:sz w:val="18"/>
          <w:vertAlign w:val="superscript"/>
          <w:lang w:eastAsia="en-US"/>
        </w:rPr>
        <w:t>39</w:t>
      </w:r>
      <w:r>
        <w:rPr>
          <w:rFonts w:cs="Galliard" w:ascii="Galliard" w:hAnsi="Galliard"/>
          <w:sz w:val="24"/>
          <w:lang w:eastAsia="en-US"/>
        </w:rPr>
        <w:t xml:space="preserve"> </w:t>
        <w:tab/>
        <w:t>PX Report at 36.</w:t>
      </w:r>
    </w:p>
    <w:p>
      <w:pPr>
        <w:pStyle w:val="Normal"/>
        <w:tabs>
          <w:tab w:val="clear" w:pos="720"/>
          <w:tab w:val="left" w:pos="0" w:leader="none"/>
        </w:tabs>
        <w:spacing w:before="0" w:after="120"/>
        <w:rPr/>
      </w:pPr>
      <w:r>
        <w:rPr>
          <w:rFonts w:cs="Galliard" w:ascii="Galliard" w:hAnsi="Galliard"/>
          <w:sz w:val="18"/>
          <w:vertAlign w:val="superscript"/>
          <w:lang w:eastAsia="en-US"/>
        </w:rPr>
        <w:t>40</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at 37.</w:t>
      </w:r>
    </w:p>
    <w:p>
      <w:pPr>
        <w:pStyle w:val="Normal"/>
        <w:tabs>
          <w:tab w:val="clear" w:pos="720"/>
          <w:tab w:val="left" w:pos="0" w:leader="none"/>
        </w:tabs>
        <w:spacing w:before="0" w:after="120"/>
        <w:rPr/>
      </w:pPr>
      <w:r>
        <w:rPr>
          <w:rFonts w:cs="Galliard" w:ascii="Galliard" w:hAnsi="Galliard"/>
          <w:sz w:val="18"/>
          <w:vertAlign w:val="superscript"/>
          <w:lang w:eastAsia="en-US"/>
        </w:rPr>
        <w:t>41</w:t>
      </w:r>
      <w:r>
        <w:rPr>
          <w:rFonts w:cs="Galliard" w:ascii="Galliard" w:hAnsi="Galliard"/>
          <w:sz w:val="24"/>
          <w:lang w:eastAsia="en-US"/>
        </w:rPr>
        <w:t xml:space="preserve"> </w:t>
        <w:tab/>
        <w:t>The RECLAIM NOx credit trading program does not apply in the San Diego area, which has no comparable trading rules of its own.</w:t>
      </w:r>
    </w:p>
    <w:p>
      <w:pPr>
        <w:pStyle w:val="Normal"/>
        <w:tabs>
          <w:tab w:val="clear" w:pos="720"/>
          <w:tab w:val="left" w:pos="0" w:leader="none"/>
        </w:tabs>
        <w:spacing w:before="0" w:after="120"/>
        <w:rPr/>
      </w:pPr>
      <w:r>
        <w:rPr>
          <w:rFonts w:cs="Galliard" w:ascii="Galliard" w:hAnsi="Galliard"/>
          <w:sz w:val="18"/>
          <w:vertAlign w:val="superscript"/>
          <w:lang w:eastAsia="en-US"/>
        </w:rPr>
        <w:t>42</w:t>
      </w:r>
      <w:r>
        <w:rPr>
          <w:rFonts w:cs="Galliard" w:ascii="Galliard" w:hAnsi="Galliard"/>
          <w:sz w:val="24"/>
          <w:lang w:eastAsia="en-US"/>
        </w:rPr>
        <w:t xml:space="preserve"> </w:t>
        <w:tab/>
      </w:r>
      <w:r>
        <w:rPr>
          <w:rFonts w:cs="Galliard" w:ascii="Galliard" w:hAnsi="Galliard"/>
          <w:i/>
          <w:sz w:val="24"/>
          <w:lang w:eastAsia="en-US"/>
        </w:rPr>
        <w:t>See Issues in the Analysis of Market Power in California</w:t>
      </w:r>
      <w:r>
        <w:rPr>
          <w:rFonts w:cs="Galliard" w:ascii="Galliard" w:hAnsi="Galliard"/>
          <w:sz w:val="24"/>
          <w:lang w:eastAsia="en-US"/>
        </w:rPr>
        <w:t>, by Scott Harvey and William Hogan, Oct. 27, 2000 at 3 (suggesting that the argument that there was market power in California is rebutted by the increase in spot prices to similar levels throughout the WSCC)(“Harvey/Hogan Report”).</w:t>
      </w:r>
    </w:p>
    <w:p>
      <w:pPr>
        <w:pStyle w:val="Normal"/>
        <w:tabs>
          <w:tab w:val="clear" w:pos="720"/>
          <w:tab w:val="left" w:pos="0" w:leader="none"/>
        </w:tabs>
        <w:spacing w:before="0" w:after="120"/>
        <w:rPr/>
      </w:pPr>
      <w:r>
        <w:rPr>
          <w:rFonts w:cs="Galliard" w:ascii="Galliard" w:hAnsi="Galliard"/>
          <w:sz w:val="18"/>
          <w:vertAlign w:val="superscript"/>
          <w:lang w:eastAsia="en-US"/>
        </w:rPr>
        <w:t>43</w:t>
      </w:r>
      <w:r>
        <w:rPr>
          <w:rFonts w:cs="Galliard" w:ascii="Galliard" w:hAnsi="Galliard"/>
          <w:sz w:val="24"/>
          <w:lang w:eastAsia="en-US"/>
        </w:rPr>
        <w:t xml:space="preserve"> </w:t>
        <w:tab/>
        <w:t>Proposed Order at 3-4; Staff Report at 1-4, 5-17 through 5-25.</w:t>
      </w:r>
    </w:p>
    <w:p>
      <w:pPr>
        <w:pStyle w:val="Normal"/>
        <w:tabs>
          <w:tab w:val="clear" w:pos="720"/>
          <w:tab w:val="left" w:pos="0" w:leader="none"/>
        </w:tabs>
        <w:spacing w:before="0" w:after="120"/>
        <w:rPr/>
      </w:pPr>
      <w:r>
        <w:rPr>
          <w:rFonts w:cs="Galliard" w:ascii="Galliard" w:hAnsi="Galliard"/>
          <w:sz w:val="18"/>
          <w:vertAlign w:val="superscript"/>
          <w:lang w:eastAsia="en-US"/>
        </w:rPr>
        <w:t>44</w:t>
      </w:r>
      <w:r>
        <w:rPr>
          <w:rFonts w:cs="Galliard" w:ascii="Galliard" w:hAnsi="Galliard"/>
          <w:sz w:val="24"/>
          <w:lang w:eastAsia="en-US"/>
        </w:rPr>
        <w:t xml:space="preserve"> </w:t>
        <w:tab/>
        <w:t xml:space="preserve">See Staff Report at 5-17 to 5-18.  The Harvey Hogan Report found that the evidence it looked at suggested that “factors unrelated to the exercise of market power accounted for the level of prices that prevailed in California electricity markets, and elsewhere in the WSCC during the summer of 2000.”  Harvey/Hogan Report at 3. </w:t>
      </w:r>
    </w:p>
    <w:p>
      <w:pPr>
        <w:pStyle w:val="Normal"/>
        <w:tabs>
          <w:tab w:val="clear" w:pos="720"/>
          <w:tab w:val="left" w:pos="0" w:leader="none"/>
        </w:tabs>
        <w:spacing w:before="0" w:after="120"/>
        <w:rPr/>
      </w:pPr>
      <w:r>
        <w:rPr>
          <w:rFonts w:cs="Galliard" w:ascii="Galliard" w:hAnsi="Galliard"/>
          <w:sz w:val="18"/>
          <w:vertAlign w:val="superscript"/>
          <w:lang w:eastAsia="en-US"/>
        </w:rPr>
        <w:t>45</w:t>
      </w:r>
      <w:r>
        <w:rPr>
          <w:rFonts w:cs="Galliard" w:ascii="Galliard" w:hAnsi="Galliard"/>
          <w:sz w:val="24"/>
          <w:lang w:eastAsia="en-US"/>
        </w:rPr>
        <w:t xml:space="preserve"> </w:t>
        <w:tab/>
        <w:t>Proposed Order at 3-4.</w:t>
      </w:r>
    </w:p>
    <w:p>
      <w:pPr>
        <w:pStyle w:val="Normal"/>
        <w:tabs>
          <w:tab w:val="clear" w:pos="720"/>
          <w:tab w:val="left" w:pos="0" w:leader="none"/>
        </w:tabs>
        <w:spacing w:before="0" w:after="120"/>
        <w:rPr/>
      </w:pPr>
      <w:r>
        <w:rPr>
          <w:rFonts w:cs="Galliard" w:ascii="Galliard" w:hAnsi="Galliard"/>
          <w:sz w:val="18"/>
          <w:vertAlign w:val="superscript"/>
          <w:lang w:eastAsia="en-US"/>
        </w:rPr>
        <w:t>46</w:t>
      </w:r>
      <w:r>
        <w:rPr>
          <w:rFonts w:cs="Galliard" w:ascii="Galliard" w:hAnsi="Galliard"/>
          <w:sz w:val="24"/>
          <w:lang w:eastAsia="en-US"/>
        </w:rPr>
        <w:t xml:space="preserve"> </w:t>
        <w:tab/>
        <w:t xml:space="preserve">Staff Report at 5-17.  This definition is in accord with Commission precedent. </w:t>
      </w:r>
      <w:r>
        <w:rPr>
          <w:rFonts w:cs="Galliard" w:ascii="Galliard" w:hAnsi="Galliard"/>
          <w:i/>
          <w:sz w:val="24"/>
          <w:lang w:eastAsia="en-US"/>
        </w:rPr>
        <w:t>See, e.g., Louisiana Energy &amp; Power Auth. v. FERC</w:t>
      </w:r>
      <w:r>
        <w:rPr>
          <w:rFonts w:cs="Galliard" w:ascii="Galliard" w:hAnsi="Galliard"/>
          <w:sz w:val="24"/>
          <w:lang w:eastAsia="en-US"/>
        </w:rPr>
        <w:t xml:space="preserve">, 141 F.3d 364 (D.C. Civ. 1998), </w:t>
      </w:r>
      <w:r>
        <w:rPr>
          <w:rFonts w:cs="Galliard" w:ascii="Galliard" w:hAnsi="Galliard"/>
          <w:i/>
          <w:sz w:val="24"/>
          <w:lang w:eastAsia="en-US"/>
        </w:rPr>
        <w:t>citing Citizens Power &amp; Light Corp.,</w:t>
      </w:r>
      <w:r>
        <w:rPr>
          <w:rFonts w:cs="Galliard" w:ascii="Galliard" w:hAnsi="Galliard"/>
          <w:sz w:val="24"/>
          <w:lang w:eastAsia="en-US"/>
        </w:rPr>
        <w:t xml:space="preserve"> 48 FERC ¶ 61,210 at 61,777 (1989)(defining market power as “a seller’s ability to influence the price in the market by withholding service or excluding competitors for a significant period of time”); </w:t>
      </w:r>
      <w:r>
        <w:rPr>
          <w:rFonts w:cs="Galliard" w:ascii="Galliard" w:hAnsi="Galliard"/>
          <w:i/>
          <w:sz w:val="24"/>
          <w:lang w:eastAsia="en-US"/>
        </w:rPr>
        <w:t>Williams Pipe Line Co.</w:t>
      </w:r>
      <w:r>
        <w:rPr>
          <w:rFonts w:cs="Galliard" w:ascii="Galliard" w:hAnsi="Galliard"/>
          <w:sz w:val="24"/>
          <w:lang w:eastAsia="en-US"/>
        </w:rPr>
        <w:t xml:space="preserve">, 71 FERC ¶ 61,291 (1995) (defining market power as “a firm’s ability to sustain a price increase over a significant period of time, or to exclude competition”); </w:t>
      </w:r>
      <w:r>
        <w:rPr>
          <w:rFonts w:cs="Galliard" w:ascii="Galliard" w:hAnsi="Galliard"/>
          <w:i/>
          <w:sz w:val="24"/>
          <w:lang w:eastAsia="en-US"/>
        </w:rPr>
        <w:t>Ocean State Power</w:t>
      </w:r>
      <w:r>
        <w:rPr>
          <w:rFonts w:cs="Galliard" w:ascii="Galliard" w:hAnsi="Galliard"/>
          <w:sz w:val="24"/>
          <w:lang w:eastAsia="en-US"/>
        </w:rPr>
        <w:t>, 44 FERC ¶ 61,261 (1988)(finding that for purposes of allowing market-based pricing, a seller lacks market power if “the seller is unable to increase prices by restricting supply or by denying the customer access to alternative sellers.”).</w:t>
      </w:r>
    </w:p>
    <w:p>
      <w:pPr>
        <w:pStyle w:val="Normal"/>
        <w:tabs>
          <w:tab w:val="clear" w:pos="720"/>
          <w:tab w:val="left" w:pos="0" w:leader="none"/>
        </w:tabs>
        <w:spacing w:before="0" w:after="120"/>
        <w:rPr/>
      </w:pPr>
      <w:r>
        <w:rPr>
          <w:rFonts w:cs="Galliard" w:ascii="Galliard" w:hAnsi="Galliard"/>
          <w:sz w:val="18"/>
          <w:vertAlign w:val="superscript"/>
          <w:lang w:eastAsia="en-US"/>
        </w:rPr>
        <w:t>47</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xml:space="preserve">.  </w:t>
      </w:r>
    </w:p>
    <w:p>
      <w:pPr>
        <w:pStyle w:val="Normal"/>
        <w:tabs>
          <w:tab w:val="clear" w:pos="720"/>
          <w:tab w:val="left" w:pos="0" w:leader="none"/>
        </w:tabs>
        <w:spacing w:before="0" w:after="120"/>
        <w:rPr/>
      </w:pPr>
      <w:r>
        <w:rPr>
          <w:rFonts w:cs="Galliard" w:ascii="Galliard" w:hAnsi="Galliard"/>
          <w:sz w:val="18"/>
          <w:vertAlign w:val="superscript"/>
          <w:lang w:eastAsia="en-US"/>
        </w:rPr>
        <w:t>48</w:t>
      </w:r>
      <w:r>
        <w:rPr>
          <w:rFonts w:cs="Galliard" w:ascii="Galliard" w:hAnsi="Galliard"/>
          <w:sz w:val="24"/>
          <w:lang w:eastAsia="en-US"/>
        </w:rPr>
        <w:t xml:space="preserve"> </w:t>
        <w:tab/>
        <w:t>Staff Report at 5-17.</w:t>
      </w:r>
    </w:p>
    <w:p>
      <w:pPr>
        <w:pStyle w:val="Normal"/>
        <w:tabs>
          <w:tab w:val="clear" w:pos="720"/>
          <w:tab w:val="left" w:pos="0" w:leader="none"/>
        </w:tabs>
        <w:spacing w:before="0" w:after="120"/>
        <w:rPr/>
      </w:pPr>
      <w:r>
        <w:rPr>
          <w:rFonts w:cs="Galliard" w:ascii="Galliard" w:hAnsi="Galliard"/>
          <w:sz w:val="18"/>
          <w:vertAlign w:val="superscript"/>
          <w:lang w:eastAsia="en-US"/>
        </w:rPr>
        <w:t>49</w:t>
      </w:r>
      <w:r>
        <w:rPr>
          <w:rFonts w:cs="Galliard" w:ascii="Galliard" w:hAnsi="Galliard"/>
          <w:sz w:val="24"/>
          <w:lang w:eastAsia="en-US"/>
        </w:rPr>
        <w:t xml:space="preserve"> </w:t>
        <w:tab/>
        <w:t xml:space="preserve">Staff Report at 1-4.  Even applying this standard, the Staff Report concluded that the bid data patterns “may reflect increased costs for most participants rather than a pattern of individual bidders or classes of bidders attempting to raise prices intentionally.”  </w:t>
      </w:r>
      <w:r>
        <w:rPr>
          <w:rFonts w:cs="Galliard" w:ascii="Galliard" w:hAnsi="Galliard"/>
          <w:i/>
          <w:sz w:val="24"/>
          <w:lang w:eastAsia="en-US"/>
        </w:rPr>
        <w:t>Id</w:t>
      </w:r>
      <w:r>
        <w:rPr>
          <w:rFonts w:cs="Galliard" w:ascii="Galliard" w:hAnsi="Galliard"/>
          <w:sz w:val="24"/>
          <w:lang w:eastAsia="en-US"/>
        </w:rPr>
        <w:t>.</w:t>
      </w:r>
    </w:p>
    <w:p>
      <w:pPr>
        <w:pStyle w:val="Normal"/>
        <w:tabs>
          <w:tab w:val="clear" w:pos="720"/>
          <w:tab w:val="left" w:pos="0" w:leader="none"/>
        </w:tabs>
        <w:spacing w:before="0" w:after="120"/>
        <w:rPr/>
      </w:pPr>
      <w:r>
        <w:rPr>
          <w:rFonts w:cs="Galliard" w:ascii="Galliard" w:hAnsi="Galliard"/>
          <w:sz w:val="18"/>
          <w:vertAlign w:val="superscript"/>
          <w:lang w:eastAsia="en-US"/>
        </w:rPr>
        <w:t>50</w:t>
      </w:r>
      <w:r>
        <w:rPr>
          <w:rFonts w:cs="Galliard" w:ascii="Galliard" w:hAnsi="Galliard"/>
          <w:sz w:val="24"/>
          <w:lang w:eastAsia="en-US"/>
        </w:rPr>
        <w:t xml:space="preserve"> </w:t>
        <w:tab/>
        <w:t>Professors Harvey and Hogan conclude that California’s wholesale market design “includes important elements that would predictably cause even a perfectly competitive firm to submit bids that differ greatly from its marginal production costs.”  Harvey/Hogan Report at 2.</w:t>
      </w:r>
    </w:p>
    <w:p>
      <w:pPr>
        <w:pStyle w:val="Normal"/>
        <w:tabs>
          <w:tab w:val="clear" w:pos="720"/>
          <w:tab w:val="left" w:pos="0" w:leader="none"/>
        </w:tabs>
        <w:spacing w:before="0" w:after="120"/>
        <w:rPr/>
      </w:pPr>
      <w:r>
        <w:rPr>
          <w:rFonts w:cs="Galliard" w:ascii="Galliard" w:hAnsi="Galliard"/>
          <w:sz w:val="18"/>
          <w:vertAlign w:val="superscript"/>
          <w:lang w:eastAsia="en-US"/>
        </w:rPr>
        <w:t>51</w:t>
      </w:r>
      <w:r>
        <w:rPr>
          <w:rFonts w:cs="Galliard" w:ascii="Galliard" w:hAnsi="Galliard"/>
          <w:sz w:val="24"/>
          <w:lang w:eastAsia="en-US"/>
        </w:rPr>
        <w:t xml:space="preserve"> </w:t>
        <w:tab/>
      </w:r>
      <w:r>
        <w:rPr>
          <w:rFonts w:cs="Galliard" w:ascii="Galliard" w:hAnsi="Galliard"/>
          <w:i/>
          <w:sz w:val="24"/>
          <w:lang w:eastAsia="en-US"/>
        </w:rPr>
        <w:t xml:space="preserve">See, </w:t>
      </w:r>
      <w:r>
        <w:rPr>
          <w:rFonts w:cs="Galliard" w:ascii="Galliard" w:hAnsi="Galliard"/>
          <w:sz w:val="24"/>
          <w:lang w:eastAsia="en-US"/>
        </w:rPr>
        <w:t>note 47.</w:t>
      </w:r>
    </w:p>
    <w:p>
      <w:pPr>
        <w:pStyle w:val="Normal"/>
        <w:tabs>
          <w:tab w:val="clear" w:pos="720"/>
          <w:tab w:val="left" w:pos="0" w:leader="none"/>
        </w:tabs>
        <w:spacing w:before="0" w:after="120"/>
        <w:rPr/>
      </w:pPr>
      <w:r>
        <w:rPr>
          <w:rFonts w:cs="Galliard" w:ascii="Galliard" w:hAnsi="Galliard"/>
          <w:sz w:val="18"/>
          <w:vertAlign w:val="superscript"/>
          <w:lang w:eastAsia="en-US"/>
        </w:rPr>
        <w:t>52</w:t>
      </w:r>
      <w:r>
        <w:rPr>
          <w:rFonts w:cs="Galliard" w:ascii="Galliard" w:hAnsi="Galliard"/>
          <w:sz w:val="24"/>
          <w:lang w:eastAsia="en-US"/>
        </w:rPr>
        <w:t xml:space="preserve"> </w:t>
        <w:tab/>
        <w:t>Staff report at 2-30.</w:t>
      </w:r>
    </w:p>
    <w:p>
      <w:pPr>
        <w:pStyle w:val="Normal"/>
        <w:tabs>
          <w:tab w:val="clear" w:pos="720"/>
          <w:tab w:val="left" w:pos="0" w:leader="none"/>
        </w:tabs>
        <w:spacing w:before="0" w:after="120"/>
        <w:rPr/>
      </w:pPr>
      <w:r>
        <w:rPr>
          <w:rFonts w:cs="Galliard" w:ascii="Galliard" w:hAnsi="Galliard"/>
          <w:sz w:val="18"/>
          <w:vertAlign w:val="superscript"/>
          <w:lang w:eastAsia="en-US"/>
        </w:rPr>
        <w:t>53</w:t>
      </w:r>
      <w:r>
        <w:rPr>
          <w:rFonts w:cs="Galliard" w:ascii="Galliard" w:hAnsi="Galliard"/>
          <w:sz w:val="24"/>
          <w:lang w:eastAsia="en-US"/>
        </w:rPr>
        <w:t xml:space="preserve"> </w:t>
        <w:tab/>
      </w:r>
      <w:r>
        <w:rPr>
          <w:rFonts w:cs="Galliard" w:ascii="Galliard" w:hAnsi="Galliard"/>
          <w:i/>
          <w:sz w:val="24"/>
          <w:lang w:eastAsia="en-US"/>
        </w:rPr>
        <w:t>Id</w:t>
      </w:r>
      <w:r>
        <w:rPr>
          <w:rFonts w:cs="Galliard" w:ascii="Galliard" w:hAnsi="Galliard"/>
          <w:sz w:val="24"/>
          <w:lang w:eastAsia="en-US"/>
        </w:rPr>
        <w:t>. (emphasis added).</w:t>
      </w:r>
    </w:p>
    <w:p>
      <w:pPr>
        <w:pStyle w:val="Normal"/>
        <w:tabs>
          <w:tab w:val="clear" w:pos="720"/>
          <w:tab w:val="left" w:pos="0" w:leader="none"/>
        </w:tabs>
        <w:spacing w:before="0" w:after="120"/>
        <w:rPr/>
      </w:pPr>
      <w:r>
        <w:rPr>
          <w:rFonts w:cs="Galliard" w:ascii="Galliard" w:hAnsi="Galliard"/>
          <w:sz w:val="18"/>
          <w:vertAlign w:val="superscript"/>
          <w:lang w:eastAsia="en-US"/>
        </w:rPr>
        <w:t>54</w:t>
      </w:r>
      <w:r>
        <w:rPr>
          <w:rFonts w:cs="Galliard" w:ascii="Galliard" w:hAnsi="Galliard"/>
          <w:sz w:val="24"/>
          <w:lang w:eastAsia="en-US"/>
        </w:rPr>
        <w:t xml:space="preserve"> </w:t>
        <w:tab/>
        <w:t xml:space="preserve">Staff Report at 1-4 (emphasis in original).  The Staff Report also found that “the data do not isolate specific exercises of market power.”  </w:t>
      </w:r>
      <w:r>
        <w:rPr>
          <w:rFonts w:cs="Galliard" w:ascii="Galliard" w:hAnsi="Galliard"/>
          <w:i/>
          <w:sz w:val="24"/>
          <w:lang w:eastAsia="en-US"/>
        </w:rPr>
        <w:t>Id</w:t>
      </w:r>
      <w:r>
        <w:rPr>
          <w:rFonts w:cs="Galliard" w:ascii="Galliard" w:hAnsi="Galliard"/>
          <w:sz w:val="24"/>
          <w:lang w:eastAsia="en-US"/>
        </w:rPr>
        <w:t xml:space="preserve">.  </w:t>
      </w:r>
    </w:p>
    <w:p>
      <w:pPr>
        <w:pStyle w:val="Normal"/>
        <w:tabs>
          <w:tab w:val="clear" w:pos="720"/>
          <w:tab w:val="left" w:pos="0" w:leader="none"/>
        </w:tabs>
        <w:spacing w:before="0" w:after="120"/>
        <w:rPr/>
      </w:pPr>
      <w:r>
        <w:rPr>
          <w:rFonts w:cs="Galliard" w:ascii="Galliard" w:hAnsi="Galliard"/>
          <w:sz w:val="18"/>
          <w:vertAlign w:val="superscript"/>
          <w:lang w:eastAsia="en-US"/>
        </w:rPr>
        <w:t>55</w:t>
      </w:r>
      <w:r>
        <w:rPr>
          <w:rFonts w:cs="Galliard" w:ascii="Galliard" w:hAnsi="Galliard"/>
          <w:sz w:val="24"/>
          <w:lang w:eastAsia="en-US"/>
        </w:rPr>
        <w:t xml:space="preserve"> </w:t>
        <w:tab/>
        <w:t>The Proposed Order expressly finds that “this record does not support findings of specific exercises of market power.”  Proposed Order at 3.</w:t>
      </w:r>
    </w:p>
    <w:p>
      <w:pPr>
        <w:pStyle w:val="Normal"/>
        <w:tabs>
          <w:tab w:val="clear" w:pos="720"/>
          <w:tab w:val="left" w:pos="0" w:leader="none"/>
        </w:tabs>
        <w:spacing w:before="0" w:after="120"/>
        <w:rPr/>
      </w:pPr>
      <w:r>
        <w:rPr>
          <w:rFonts w:cs="Galliard" w:ascii="Galliard" w:hAnsi="Galliard"/>
          <w:sz w:val="18"/>
          <w:vertAlign w:val="superscript"/>
          <w:lang w:eastAsia="en-US"/>
        </w:rPr>
        <w:t>56</w:t>
      </w:r>
      <w:r>
        <w:rPr>
          <w:rFonts w:cs="Galliard" w:ascii="Galliard" w:hAnsi="Galliard"/>
          <w:sz w:val="24"/>
          <w:lang w:eastAsia="en-US"/>
        </w:rPr>
        <w:t xml:space="preserve"> </w:t>
        <w:tab/>
        <w:t>Staff Report at 1-4.</w:t>
      </w:r>
    </w:p>
    <w:p>
      <w:pPr>
        <w:pStyle w:val="Normal"/>
        <w:tabs>
          <w:tab w:val="clear" w:pos="720"/>
          <w:tab w:val="left" w:pos="0" w:leader="none"/>
        </w:tabs>
        <w:spacing w:before="0" w:after="120"/>
        <w:rPr/>
      </w:pPr>
      <w:r>
        <w:rPr>
          <w:rFonts w:cs="Galliard" w:ascii="Galliard" w:hAnsi="Galliard"/>
          <w:sz w:val="18"/>
          <w:vertAlign w:val="superscript"/>
          <w:lang w:eastAsia="en-US"/>
        </w:rPr>
        <w:t>57</w:t>
      </w:r>
      <w:r>
        <w:rPr>
          <w:rFonts w:cs="Galliard" w:ascii="Galliard" w:hAnsi="Galliard"/>
          <w:sz w:val="24"/>
          <w:lang w:eastAsia="en-US"/>
        </w:rPr>
        <w:t xml:space="preserve"> </w:t>
        <w:tab/>
        <w:t>Professors Harvey and Hogan conclude that, because prices throughout the WSCC have risen to similar levels to those in California, “if market power were the explanation it would imply that the exercise of market power has been both large and pervasive.  If true, direct evidence of extensive withholding ... should be easy to find, especially for the thermal generation that tens to be the focus of market power concerns.  In other words, there should be the proverbial ‘smoking guns’ scattered about the landscape.  The absence of such immediate evidence does not guarantee that the smoking guns are not there and just well hidden, but it does raise a question about the possibility that the market power explanation might be incorrect ... .”  Harvey/Hogan Report at 3.</w:t>
      </w:r>
    </w:p>
    <w:p>
      <w:pPr>
        <w:pStyle w:val="Normal"/>
        <w:tabs>
          <w:tab w:val="clear" w:pos="720"/>
          <w:tab w:val="left" w:pos="0" w:leader="none"/>
        </w:tabs>
        <w:spacing w:before="0" w:after="120"/>
        <w:rPr/>
      </w:pPr>
      <w:r>
        <w:rPr>
          <w:rFonts w:cs="Galliard" w:ascii="Galliard" w:hAnsi="Galliard"/>
          <w:sz w:val="18"/>
          <w:vertAlign w:val="superscript"/>
          <w:lang w:eastAsia="en-US"/>
        </w:rPr>
        <w:t>58</w:t>
      </w:r>
      <w:r>
        <w:rPr>
          <w:rFonts w:cs="Galliard" w:ascii="Galliard" w:hAnsi="Galliard"/>
          <w:sz w:val="24"/>
          <w:lang w:eastAsia="en-US"/>
        </w:rPr>
        <w:t xml:space="preserve"> </w:t>
        <w:tab/>
        <w:t>Proposed Order at 42 n.91.</w:t>
      </w:r>
    </w:p>
    <w:p>
      <w:pPr>
        <w:pStyle w:val="Normal"/>
        <w:tabs>
          <w:tab w:val="clear" w:pos="720"/>
          <w:tab w:val="left" w:pos="0" w:leader="none"/>
        </w:tabs>
        <w:spacing w:before="0" w:after="120"/>
        <w:rPr/>
      </w:pPr>
      <w:r>
        <w:rPr>
          <w:rFonts w:cs="Galliard" w:ascii="Galliard" w:hAnsi="Galliard"/>
          <w:sz w:val="18"/>
          <w:vertAlign w:val="superscript"/>
          <w:lang w:eastAsia="en-US"/>
        </w:rPr>
        <w:t>59</w:t>
      </w:r>
      <w:r>
        <w:rPr>
          <w:rFonts w:cs="Galliard" w:ascii="Galliard" w:hAnsi="Galliard"/>
          <w:sz w:val="24"/>
          <w:lang w:eastAsia="en-US"/>
        </w:rPr>
        <w:t xml:space="preserve"> </w:t>
        <w:tab/>
        <w:t xml:space="preserve">This calculation uses the average price into NP-15 for the lowest two-thirds of the hours between November 1, 1999 and October 31, 2000. </w:t>
      </w:r>
    </w:p>
    <w:p>
      <w:pPr>
        <w:pStyle w:val="Normal"/>
        <w:tabs>
          <w:tab w:val="clear" w:pos="720"/>
          <w:tab w:val="left" w:pos="0" w:leader="none"/>
        </w:tabs>
        <w:spacing w:before="0" w:after="120"/>
        <w:rPr/>
      </w:pPr>
      <w:r>
        <w:rPr>
          <w:rFonts w:cs="Galliard" w:ascii="Galliard" w:hAnsi="Galliard"/>
          <w:sz w:val="18"/>
          <w:vertAlign w:val="superscript"/>
          <w:lang w:eastAsia="en-US"/>
        </w:rPr>
        <w:t>60</w:t>
      </w:r>
      <w:r>
        <w:rPr>
          <w:rFonts w:cs="Galliard" w:ascii="Galliard" w:hAnsi="Galliard"/>
          <w:sz w:val="24"/>
          <w:lang w:eastAsia="en-US"/>
        </w:rPr>
        <w:t xml:space="preserve"> </w:t>
        <w:tab/>
        <w:t xml:space="preserve">This conclusion assumes levelized fixed costs (capital plus O&amp;M)of $80/kW-yr, a 12,000 Btu/kWh heat rate, $5/MWh variable costs including emissions, and sales into the NP-15 PX market whenever profitable, and into the day-ahead replacement reserves market otherwise. </w:t>
      </w:r>
    </w:p>
    <w:p>
      <w:pPr>
        <w:pStyle w:val="Normal"/>
        <w:tabs>
          <w:tab w:val="clear" w:pos="720"/>
          <w:tab w:val="left" w:pos="0" w:leader="none"/>
        </w:tabs>
        <w:spacing w:before="0" w:after="120"/>
        <w:rPr/>
      </w:pPr>
      <w:r>
        <w:rPr>
          <w:rFonts w:cs="Galliard" w:ascii="Galliard" w:hAnsi="Galliard"/>
          <w:sz w:val="18"/>
          <w:vertAlign w:val="superscript"/>
          <w:lang w:eastAsia="en-US"/>
        </w:rPr>
        <w:t>61</w:t>
      </w:r>
      <w:r>
        <w:rPr>
          <w:rFonts w:cs="Galliard" w:ascii="Galliard" w:hAnsi="Galliard"/>
          <w:sz w:val="24"/>
          <w:lang w:eastAsia="en-US"/>
        </w:rPr>
        <w:t xml:space="preserve"> </w:t>
        <w:tab/>
        <w:t xml:space="preserve">Duke Energy believes that it is important for the Commission, in its final order, to reject the position advanced by some that market-based rates are somehow not subject to Commission precedent regarding the filed rate doctrine and its corollary doctrine precluding retroactive refunds.  The Commission has affirmed its authority to approve market-based rates as filed tariffs and has held that such approval process comports with the filed rate doctrine.  </w:t>
      </w:r>
      <w:r>
        <w:rPr>
          <w:rFonts w:cs="Galliard" w:ascii="Galliard" w:hAnsi="Galliard"/>
          <w:i/>
          <w:sz w:val="24"/>
          <w:lang w:eastAsia="en-US"/>
        </w:rPr>
        <w:t>See</w:t>
      </w:r>
      <w:r>
        <w:rPr>
          <w:rFonts w:cs="Galliard" w:ascii="Galliard" w:hAnsi="Galliard"/>
          <w:sz w:val="24"/>
          <w:lang w:eastAsia="en-US"/>
        </w:rPr>
        <w:t xml:space="preserve"> </w:t>
      </w:r>
      <w:r>
        <w:rPr>
          <w:rFonts w:cs="Galliard" w:ascii="Galliard" w:hAnsi="Galliard"/>
          <w:i/>
          <w:sz w:val="24"/>
          <w:lang w:eastAsia="en-US"/>
        </w:rPr>
        <w:t>Alternatives to Traditional Cost of Service Ratemaking for Natural Gas Pipelines</w:t>
      </w:r>
      <w:r>
        <w:rPr>
          <w:rFonts w:cs="Galliard" w:ascii="Galliard" w:hAnsi="Galliard"/>
          <w:sz w:val="24"/>
          <w:lang w:eastAsia="en-US"/>
        </w:rPr>
        <w:t>, 74, FERC ¶ 61,076, 61,230 (</w:t>
      </w:r>
      <w:r>
        <w:rPr>
          <w:rFonts w:cs="Galliard" w:ascii="Galliard" w:hAnsi="Galliard"/>
          <w:i/>
          <w:sz w:val="24"/>
          <w:lang w:eastAsia="en-US"/>
        </w:rPr>
        <w:t>citing Elizabethtown Gas Co. v. FERC</w:t>
      </w:r>
      <w:r>
        <w:rPr>
          <w:rFonts w:cs="Galliard" w:ascii="Galliard" w:hAnsi="Galliard"/>
          <w:sz w:val="24"/>
          <w:lang w:eastAsia="en-US"/>
        </w:rPr>
        <w:t xml:space="preserve">, 10 F.3d 866 (D.C. Cir 1993); </w:t>
      </w:r>
      <w:r>
        <w:rPr>
          <w:rFonts w:cs="Galliard" w:ascii="Galliard" w:hAnsi="Galliard"/>
          <w:i/>
          <w:sz w:val="24"/>
          <w:lang w:eastAsia="en-US"/>
        </w:rPr>
        <w:t>Commonwealth Atlantic Ltd. Partnership</w:t>
      </w:r>
      <w:r>
        <w:rPr>
          <w:rFonts w:cs="Galliard" w:ascii="Galliard" w:hAnsi="Galliard"/>
          <w:sz w:val="24"/>
          <w:lang w:eastAsia="en-US"/>
        </w:rPr>
        <w:t xml:space="preserve">, 51 FERC ¶ 61,368, 62,247 (1990).  Having approved market-based rates for market participants in California markets, the Commission may, of course, monitor the market to determine that the conditions for market-based rate authority still apply.  If not, the Commission may prospectively modify the market-based rate authority under Section 206 of the Federal Power Act.  </w:t>
      </w:r>
      <w:r>
        <w:rPr>
          <w:rFonts w:cs="Galliard" w:ascii="Galliard" w:hAnsi="Galliard"/>
          <w:i/>
          <w:sz w:val="24"/>
          <w:lang w:eastAsia="en-US"/>
        </w:rPr>
        <w:t>Environmental Action v FERC</w:t>
      </w:r>
      <w:r>
        <w:rPr>
          <w:rFonts w:cs="Galliard" w:ascii="Galliard" w:hAnsi="Galliard"/>
          <w:sz w:val="24"/>
          <w:lang w:eastAsia="en-US"/>
        </w:rPr>
        <w:t xml:space="preserve">, 996 F.2d 401 (D.C. Civ. 1993) </w:t>
      </w:r>
      <w:r>
        <w:rPr>
          <w:rFonts w:cs="Galliard" w:ascii="Galliard" w:hAnsi="Galliard"/>
          <w:i/>
          <w:sz w:val="24"/>
          <w:lang w:eastAsia="en-US"/>
        </w:rPr>
        <w:t>Elizabethtown Gas Co. v. FERC</w:t>
      </w:r>
      <w:r>
        <w:rPr>
          <w:rFonts w:cs="Galliard" w:ascii="Galliard" w:hAnsi="Galliard"/>
          <w:sz w:val="24"/>
          <w:lang w:eastAsia="en-US"/>
        </w:rPr>
        <w:t xml:space="preserve">, 10 F.3d 866 (D.C. Civ. 1993).  However, the courts have consistently held that when the Commission acts to modify tariff provisions pursuant to Section 206, it must follow the strictures of that Section, including the prohibition on ordering refunds prior to an established refund effective date.  </w:t>
      </w:r>
      <w:r>
        <w:rPr>
          <w:rFonts w:cs="Galliard" w:ascii="Galliard" w:hAnsi="Galliard"/>
          <w:i/>
          <w:sz w:val="24"/>
          <w:lang w:eastAsia="en-US"/>
        </w:rPr>
        <w:t>See</w:t>
      </w:r>
      <w:r>
        <w:rPr>
          <w:rFonts w:cs="Galliard" w:ascii="Galliard" w:hAnsi="Galliard"/>
          <w:sz w:val="24"/>
          <w:lang w:eastAsia="en-US"/>
        </w:rPr>
        <w:t xml:space="preserve"> </w:t>
      </w:r>
      <w:r>
        <w:rPr>
          <w:rFonts w:cs="Galliard" w:ascii="Galliard" w:hAnsi="Galliard"/>
          <w:i/>
          <w:sz w:val="24"/>
          <w:lang w:eastAsia="en-US"/>
        </w:rPr>
        <w:t>PSCNY v. Ozark Gas Transmission System</w:t>
      </w:r>
      <w:r>
        <w:rPr>
          <w:rFonts w:cs="Galliard" w:ascii="Galliard" w:hAnsi="Galliard"/>
          <w:sz w:val="24"/>
          <w:lang w:eastAsia="en-US"/>
        </w:rPr>
        <w:t xml:space="preserve">, 866 F.2d 487 (D.C. Cir. 1989); </w:t>
      </w:r>
      <w:r>
        <w:rPr>
          <w:rFonts w:cs="Galliard" w:ascii="Galliard" w:hAnsi="Galliard"/>
          <w:i/>
          <w:sz w:val="24"/>
          <w:lang w:eastAsia="en-US"/>
        </w:rPr>
        <w:t>Panhandle Eastern Pipe Line Co. v. FERC</w:t>
      </w:r>
      <w:r>
        <w:rPr>
          <w:rFonts w:cs="Galliard" w:ascii="Galliard" w:hAnsi="Galliard"/>
          <w:sz w:val="24"/>
          <w:lang w:eastAsia="en-US"/>
        </w:rPr>
        <w:t>, 613 F.2d 1120 (D.C. Cir. 1979).</w:t>
      </w:r>
    </w:p>
    <w:p>
      <w:pPr>
        <w:pStyle w:val="Normal"/>
        <w:tabs>
          <w:tab w:val="clear" w:pos="720"/>
          <w:tab w:val="left" w:pos="0" w:leader="none"/>
        </w:tabs>
        <w:spacing w:before="0" w:after="120"/>
        <w:rPr/>
      </w:pPr>
      <w:r>
        <w:rPr>
          <w:rFonts w:cs="Galliard" w:ascii="Galliard" w:hAnsi="Galliard"/>
          <w:sz w:val="18"/>
          <w:vertAlign w:val="superscript"/>
          <w:lang w:eastAsia="en-US"/>
        </w:rPr>
        <w:t>62</w:t>
      </w:r>
      <w:r>
        <w:rPr>
          <w:rFonts w:cs="Galliard" w:ascii="Galliard" w:hAnsi="Galliard"/>
          <w:sz w:val="24"/>
          <w:lang w:eastAsia="en-US"/>
        </w:rPr>
        <w:t xml:space="preserve"> </w:t>
        <w:tab/>
        <w:t>Proposed Order at 45 n.92.</w:t>
      </w:r>
    </w:p>
    <w:p>
      <w:pPr>
        <w:pStyle w:val="Normal"/>
        <w:tabs>
          <w:tab w:val="clear" w:pos="720"/>
          <w:tab w:val="left" w:pos="0" w:leader="none"/>
        </w:tabs>
        <w:spacing w:before="0" w:after="120"/>
        <w:rPr/>
      </w:pPr>
      <w:r>
        <w:rPr>
          <w:rFonts w:cs="Galliard" w:ascii="Galliard" w:hAnsi="Galliard"/>
          <w:sz w:val="18"/>
          <w:vertAlign w:val="superscript"/>
          <w:lang w:eastAsia="en-US"/>
        </w:rPr>
        <w:t>63</w:t>
      </w:r>
      <w:r>
        <w:rPr>
          <w:rFonts w:cs="Galliard" w:ascii="Galliard" w:hAnsi="Galliard"/>
          <w:sz w:val="24"/>
          <w:lang w:eastAsia="en-US"/>
        </w:rPr>
        <w:t xml:space="preserve"> </w:t>
        <w:tab/>
        <w:t>The IOUs that retain generation also benefited from higher prices for energy during the summer of 2000, and any discussion of financial impacts must take that into account.</w:t>
      </w:r>
    </w:p>
    <w:p>
      <w:pPr>
        <w:pStyle w:val="Normal"/>
        <w:tabs>
          <w:tab w:val="clear" w:pos="720"/>
          <w:tab w:val="left" w:pos="0" w:leader="none"/>
        </w:tabs>
        <w:spacing w:before="0" w:after="120"/>
        <w:rPr/>
      </w:pPr>
      <w:r>
        <w:rPr>
          <w:rFonts w:cs="Galliard" w:ascii="Galliard" w:hAnsi="Galliard"/>
          <w:sz w:val="18"/>
          <w:vertAlign w:val="superscript"/>
          <w:lang w:eastAsia="en-US"/>
        </w:rPr>
        <w:t>64</w:t>
      </w:r>
      <w:r>
        <w:rPr>
          <w:rFonts w:cs="Galliard" w:ascii="Galliard" w:hAnsi="Galliard"/>
          <w:sz w:val="24"/>
          <w:lang w:eastAsia="en-US"/>
        </w:rPr>
        <w:t xml:space="preserve"> </w:t>
        <w:tab/>
      </w:r>
      <w:r>
        <w:rPr>
          <w:rFonts w:cs="Galliard" w:ascii="Galliard" w:hAnsi="Galliard"/>
          <w:i/>
          <w:sz w:val="24"/>
          <w:lang w:eastAsia="en-US"/>
        </w:rPr>
        <w:t>See Nantahala Power &amp; Light Co. v. Thornburg</w:t>
      </w:r>
      <w:r>
        <w:rPr>
          <w:rFonts w:cs="Galliard" w:ascii="Galliard" w:hAnsi="Galliard"/>
          <w:sz w:val="24"/>
          <w:lang w:eastAsia="en-US"/>
        </w:rPr>
        <w:t xml:space="preserve">, 476 U.S. 953 (1986) (state preempted from overriding FERC-approved wholesale rate).  </w:t>
      </w:r>
    </w:p>
    <w:p>
      <w:pPr>
        <w:pStyle w:val="Normal"/>
        <w:tabs>
          <w:tab w:val="clear" w:pos="720"/>
          <w:tab w:val="left" w:pos="0" w:leader="none"/>
        </w:tabs>
        <w:spacing w:before="0" w:after="120"/>
        <w:rPr/>
      </w:pPr>
      <w:r>
        <w:rPr>
          <w:rFonts w:cs="Galliard" w:ascii="Galliard" w:hAnsi="Galliard"/>
          <w:sz w:val="18"/>
          <w:vertAlign w:val="superscript"/>
          <w:lang w:eastAsia="en-US"/>
        </w:rPr>
        <w:t>65</w:t>
      </w:r>
      <w:r>
        <w:rPr>
          <w:rFonts w:cs="Galliard" w:ascii="Galliard" w:hAnsi="Galliard"/>
          <w:sz w:val="24"/>
          <w:lang w:eastAsia="en-US"/>
        </w:rPr>
        <w:t xml:space="preserve"> </w:t>
        <w:tab/>
        <w:t>Proposed Order at 40-41.</w:t>
      </w:r>
    </w:p>
    <w:p>
      <w:pPr>
        <w:pStyle w:val="Normal"/>
        <w:tabs>
          <w:tab w:val="clear" w:pos="720"/>
          <w:tab w:val="left" w:pos="0" w:leader="none"/>
        </w:tabs>
        <w:spacing w:before="0" w:after="120"/>
        <w:rPr/>
      </w:pPr>
      <w:r>
        <w:rPr>
          <w:rFonts w:cs="Galliard" w:ascii="Galliard" w:hAnsi="Galliard"/>
          <w:sz w:val="18"/>
          <w:vertAlign w:val="superscript"/>
          <w:lang w:eastAsia="en-US"/>
        </w:rPr>
        <w:t>66</w:t>
      </w:r>
      <w:r>
        <w:rPr>
          <w:rFonts w:cs="Galliard" w:ascii="Galliard" w:hAnsi="Galliard"/>
          <w:sz w:val="24"/>
          <w:lang w:eastAsia="en-US"/>
        </w:rPr>
        <w:t xml:space="preserve"> </w:t>
        <w:tab/>
        <w:t xml:space="preserve">Nonjurisdictional entities include BPA and municipalities, which hold a 14% share of generation capacity in California. </w:t>
      </w:r>
      <w:r>
        <w:rPr>
          <w:rFonts w:cs="Galliard" w:ascii="Galliard" w:hAnsi="Galliard"/>
          <w:i/>
          <w:sz w:val="24"/>
          <w:lang w:eastAsia="en-US"/>
        </w:rPr>
        <w:t xml:space="preserve"> See</w:t>
      </w:r>
      <w:r>
        <w:rPr>
          <w:rFonts w:cs="Galliard" w:ascii="Galliard" w:hAnsi="Galliard"/>
          <w:sz w:val="24"/>
          <w:lang w:eastAsia="en-US"/>
        </w:rPr>
        <w:t xml:space="preserve"> Staff Report at 3-4.  In addition, the CAISO appears free to continue its practice of making out-of-market purchases. </w:t>
      </w:r>
    </w:p>
    <w:p>
      <w:pPr>
        <w:pStyle w:val="Normal"/>
        <w:tabs>
          <w:tab w:val="clear" w:pos="720"/>
          <w:tab w:val="left" w:pos="0" w:leader="none"/>
        </w:tabs>
        <w:spacing w:before="0" w:after="120"/>
        <w:rPr/>
      </w:pPr>
      <w:r>
        <w:rPr>
          <w:rFonts w:cs="Galliard" w:ascii="Galliard" w:hAnsi="Galliard"/>
          <w:sz w:val="18"/>
          <w:vertAlign w:val="superscript"/>
          <w:lang w:eastAsia="en-US"/>
        </w:rPr>
        <w:t>67</w:t>
      </w:r>
      <w:r>
        <w:rPr>
          <w:rFonts w:cs="Galliard" w:ascii="Galliard" w:hAnsi="Galliard"/>
          <w:sz w:val="24"/>
          <w:lang w:eastAsia="en-US"/>
        </w:rPr>
        <w:t xml:space="preserve"> </w:t>
        <w:tab/>
        <w:t>The Commission’s screen should also take into account other opportunity costs, such as from other products or from temporal considerations that may apply in regions such as San Diego.</w:t>
      </w:r>
    </w:p>
    <w:p>
      <w:pPr>
        <w:pStyle w:val="Normal"/>
        <w:tabs>
          <w:tab w:val="clear" w:pos="720"/>
          <w:tab w:val="left" w:pos="0" w:leader="none"/>
        </w:tabs>
        <w:spacing w:before="0" w:after="120"/>
        <w:rPr>
          <w:rFonts w:ascii="Galliard" w:hAnsi="Galliard" w:cs="Galliard"/>
          <w:sz w:val="24"/>
          <w:lang w:eastAsia="en-US"/>
        </w:rPr>
      </w:pPr>
      <w:r>
        <w:rPr>
          <w:rFonts w:cs="Galliard" w:ascii="Galliard" w:hAnsi="Galliard"/>
          <w:sz w:val="24"/>
          <w:lang w:eastAsia="en-US"/>
        </w:rPr>
      </w:r>
    </w:p>
    <w:p>
      <w:pPr>
        <w:pStyle w:val="Normal"/>
        <w:tabs>
          <w:tab w:val="clear" w:pos="720"/>
          <w:tab w:val="left" w:pos="0" w:leader="none"/>
        </w:tabs>
        <w:spacing w:before="0" w:after="120"/>
        <w:rPr>
          <w:rFonts w:ascii="Galliard" w:hAnsi="Galliard" w:cs="Galliard"/>
          <w:sz w:val="24"/>
          <w:lang w:eastAsia="en-US"/>
        </w:rPr>
      </w:pPr>
      <w:r>
        <w:rPr>
          <w:rFonts w:cs="Galliard" w:ascii="Galliard" w:hAnsi="Galliard"/>
          <w:sz w:val="24"/>
          <w:lang w:eastAsia="en-US"/>
        </w:rPr>
      </w:r>
    </w:p>
    <w:p>
      <w:pPr>
        <w:pStyle w:val="Normal"/>
        <w:rPr>
          <w:rFonts w:ascii="Galliard" w:hAnsi="Galliard" w:cs="Galliard"/>
          <w:sz w:val="24"/>
          <w:lang w:eastAsia="en-US"/>
        </w:rPr>
      </w:pPr>
      <w:r>
        <w:rPr>
          <w:rFonts w:cs="Galliard" w:ascii="Galliard" w:hAnsi="Galliard"/>
          <w:sz w:val="24"/>
          <w:lang w:eastAsia="en-US"/>
        </w:rPr>
      </w:r>
    </w:p>
    <w:sectPr>
      <w:headerReference w:type="default" r:id="rId5"/>
      <w:footerReference w:type="default" r:id="rId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lliard">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rPr>
        <w:rFonts w:ascii="Galliard" w:hAnsi="Galliard" w:cs="Galliard"/>
        <w:sz w:val="24"/>
        <w:lang w:eastAsia="en-US"/>
      </w:rPr>
    </w:pPr>
    <w:r>
      <w:rPr>
        <w:rFonts w:cs="Galliard" w:ascii="Galliard" w:hAnsi="Galliard"/>
        <w:sz w:val="24"/>
        <w:lang w:eastAsia="en-US"/>
      </w:rPr>
      <w:fldChar w:fldCharType="begin"/>
    </w:r>
    <w:r>
      <w:rPr>
        <w:sz w:val="24"/>
        <w:rFonts w:cs="Galliard" w:ascii="Galliard" w:hAnsi="Galliard"/>
        <w:lang w:eastAsia="en-US"/>
      </w:rPr>
      <w:instrText xml:space="preserve"> PAGE \* ARABIC </w:instrText>
    </w:r>
    <w:r>
      <w:rPr>
        <w:sz w:val="24"/>
        <w:rFonts w:cs="Galliard" w:ascii="Galliard" w:hAnsi="Galliard"/>
        <w:lang w:eastAsia="en-US"/>
      </w:rPr>
      <w:fldChar w:fldCharType="separate"/>
    </w:r>
    <w:r>
      <w:rPr>
        <w:sz w:val="24"/>
        <w:rFonts w:cs="Galliard" w:ascii="Galliard" w:hAnsi="Galliard"/>
        <w:lang w:eastAsia="en-US"/>
      </w:rPr>
      <w:t>55</w:t>
    </w:r>
    <w:r>
      <w:rPr>
        <w:sz w:val="24"/>
        <w:rFonts w:cs="Galliard" w:ascii="Galliard" w:hAnsi="Galliard"/>
        <w:lang w:eastAsia="en-US"/>
      </w:rPr>
      <w:fldChar w:fldCharType="end"/>
    </w:r>
  </w:p>
  <w:p>
    <w:pPr>
      <w:pStyle w:val="Normal"/>
      <w:tabs>
        <w:tab w:val="clear" w:pos="720"/>
        <w:tab w:val="center" w:pos="4320" w:leader="none"/>
        <w:tab w:val="right" w:pos="8640" w:leader="none"/>
      </w:tabs>
      <w:rPr>
        <w:rFonts w:ascii="Galliard" w:hAnsi="Galliard" w:cs="Galliard"/>
        <w:sz w:val="24"/>
        <w:lang w:eastAsia="en-US"/>
      </w:rPr>
    </w:pPr>
    <w:r>
      <w:rPr>
        <w:rFonts w:cs="Galliard" w:ascii="Galliard" w:hAnsi="Galliard"/>
        <w:sz w:val="24"/>
        <w:lang w:eastAsia="en-US"/>
      </w:rPr>
    </w:r>
  </w:p>
  <w:p>
    <w:pPr>
      <w:pStyle w:val="Normal"/>
      <w:tabs>
        <w:tab w:val="clear" w:pos="720"/>
        <w:tab w:val="center" w:pos="4320" w:leader="none"/>
        <w:tab w:val="right" w:pos="8640" w:leader="none"/>
      </w:tabs>
      <w:rPr>
        <w:rFonts w:ascii="Arial" w:hAnsi="Arial" w:cs="Arial"/>
        <w:sz w:val="12"/>
        <w:lang w:eastAsia="en-US"/>
      </w:rPr>
    </w:pPr>
    <w:r>
      <w:rPr>
        <w:rFonts w:cs="Arial" w:ascii="Arial" w:hAnsi="Arial"/>
        <w:sz w:val="12"/>
        <w:lang w:eastAsia="en-US"/>
      </w:rPr>
      <w:t>1223917 v1; Q8DP01!.DOC</w:t>
    </w:r>
  </w:p>
  <w:p>
    <w:pPr>
      <w:pStyle w:val="Normal"/>
      <w:tabs>
        <w:tab w:val="clear" w:pos="720"/>
        <w:tab w:val="center" w:pos="4320" w:leader="none"/>
        <w:tab w:val="right" w:pos="8640" w:leader="none"/>
      </w:tabs>
      <w:rPr>
        <w:rFonts w:ascii="Galliard" w:hAnsi="Galliard" w:cs="Galliard"/>
        <w:sz w:val="24"/>
        <w:lang w:eastAsia="en-US"/>
      </w:rPr>
    </w:pPr>
    <w:r>
      <w:rPr>
        <w:rFonts w:cs="Galliard" w:ascii="Galliard" w:hAnsi="Galliard"/>
        <w:sz w:val="24"/>
        <w:lang w:eastAsia="en-US"/>
      </w:rPr>
    </w:r>
  </w:p>
  <w:p>
    <w:pPr>
      <w:pStyle w:val="Normal"/>
      <w:tabs>
        <w:tab w:val="clear" w:pos="720"/>
        <w:tab w:val="center" w:pos="4320" w:leader="none"/>
        <w:tab w:val="right" w:pos="8640" w:leader="none"/>
      </w:tabs>
      <w:rPr>
        <w:rFonts w:ascii="Galliard" w:hAnsi="Galliard" w:cs="Galliard"/>
        <w:sz w:val="24"/>
        <w:lang w:eastAsia="en-US"/>
      </w:rPr>
    </w:pPr>
    <w:r>
      <w:rPr>
        <w:rFonts w:cs="Galliard" w:ascii="Galliard" w:hAnsi="Galliard"/>
        <w:sz w:val="24"/>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8640" w:leader="none"/>
      </w:tabs>
      <w:rPr>
        <w:rFonts w:ascii="Galliard" w:hAnsi="Galliard" w:cs="Galliard"/>
        <w:sz w:val="24"/>
        <w:lang w:eastAsia="en-US"/>
      </w:rPr>
    </w:pPr>
    <w:r>
      <w:rPr>
        <w:rFonts w:cs="Galliard" w:ascii="Galliard" w:hAnsi="Galliard"/>
        <w:sz w:val="24"/>
        <w:lang w:eastAsia="en-US"/>
      </w:rPr>
    </w:r>
  </w:p>
  <w:p>
    <w:pPr>
      <w:pStyle w:val="Normal"/>
      <w:tabs>
        <w:tab w:val="clear" w:pos="720"/>
        <w:tab w:val="center" w:pos="4320" w:leader="none"/>
        <w:tab w:val="right" w:pos="8640" w:leader="none"/>
      </w:tabs>
      <w:rPr>
        <w:rFonts w:ascii="Galliard" w:hAnsi="Galliard" w:cs="Galliard"/>
        <w:sz w:val="24"/>
        <w:lang w:eastAsia="en-US"/>
      </w:rPr>
    </w:pPr>
    <w:r>
      <w:rPr>
        <w:rFonts w:cs="Galliard" w:ascii="Galliard" w:hAnsi="Galliard"/>
        <w:sz w:val="24"/>
        <w:lang w:eastAsia="en-US"/>
      </w:rPr>
    </w:r>
  </w:p>
  <w:p>
    <w:pPr>
      <w:pStyle w:val="Normal"/>
      <w:tabs>
        <w:tab w:val="clear" w:pos="720"/>
        <w:tab w:val="center" w:pos="4320" w:leader="none"/>
        <w:tab w:val="right" w:pos="8640" w:leader="none"/>
      </w:tabs>
      <w:rPr>
        <w:rFonts w:ascii="Galliard" w:hAnsi="Galliard" w:cs="Galliard"/>
        <w:sz w:val="24"/>
        <w:lang w:eastAsia="en-US"/>
      </w:rPr>
    </w:pPr>
    <w:r>
      <w:rPr>
        <w:rFonts w:cs="Galliard" w:ascii="Galliard" w:hAnsi="Galliard"/>
        <w:sz w:val="24"/>
        <w:lang w:eastAsia="en-US"/>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2000-11-26T23:25:00Z</dcterms:created>
  <dc:creator>Thomas Comer Williams</dc:creator>
  <dc:description/>
  <dc:language>en-CA</dc:language>
  <cp:lastModifiedBy>Thomas Comer Williams</cp:lastModifiedBy>
  <dcterms:modified xsi:type="dcterms:W3CDTF">2000-11-26T23:27:00Z</dcterms:modified>
  <cp:revision>1</cp:revision>
  <dc:subject/>
  <dc:title>UNITED STATES OF AMERICA</dc:title>
</cp:coreProperties>
</file>