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rPr>
      </w:pPr>
      <w:r>
        <w:rPr>
          <w:rFonts w:cs="Arial" w:ascii="Arial" w:hAnsi="Arial"/>
        </w:rPr>
        <w:t>Question &amp; Answers for Duke Energy</w:t>
      </w:r>
    </w:p>
    <w:p>
      <w:pPr>
        <w:pStyle w:val="Heading1"/>
        <w:ind w:hanging="0" w:start="0"/>
        <w:rPr>
          <w:rFonts w:ascii="Arial" w:hAnsi="Arial" w:cs="Arial"/>
        </w:rPr>
      </w:pPr>
      <w:r>
        <w:rPr>
          <w:rFonts w:cs="Arial" w:ascii="Arial" w:hAnsi="Arial"/>
        </w:rPr>
        <w:t>As of December 5,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000000"/>
          <w:lang w:eastAsia="en-US"/>
        </w:rPr>
      </w:pPr>
      <w:r>
        <w:rPr>
          <w:rFonts w:cs="Arial" w:ascii="Arial" w:hAnsi="Arial"/>
          <w:b/>
          <w:u w:val="single"/>
        </w:rPr>
        <w:t>Questions:</w:t>
      </w:r>
    </w:p>
    <w:p>
      <w:pPr>
        <w:pStyle w:val="Normal"/>
        <w:spacing w:lineRule="atLeast" w:line="240"/>
        <w:rPr>
          <w:rFonts w:ascii="Arial" w:hAnsi="Arial" w:cs="Arial"/>
          <w:color w:val="000000"/>
          <w:lang w:eastAsia="en-US"/>
        </w:rPr>
      </w:pPr>
      <w:r>
        <w:rPr>
          <w:rFonts w:cs="Arial" w:ascii="Arial" w:hAnsi="Arial"/>
          <w:color w:val="000000"/>
          <w:lang w:eastAsia="en-US"/>
        </w:rPr>
        <w:t>For your information, the following Brownsville agreements are currently supported by Enron parent company guarantees.  All the agreements have had the cap amount blacked-out.</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TVA Power Interconnect Agreement dated 1/12/99</w:t>
      </w:r>
    </w:p>
    <w:p>
      <w:pPr>
        <w:pStyle w:val="Normal"/>
        <w:spacing w:lineRule="atLeast" w:line="240"/>
        <w:rPr>
          <w:rFonts w:ascii="Arial" w:hAnsi="Arial" w:cs="Arial"/>
          <w:color w:val="000000"/>
          <w:lang w:eastAsia="en-US"/>
        </w:rPr>
      </w:pPr>
      <w:r>
        <w:rPr>
          <w:rFonts w:cs="Arial" w:ascii="Arial" w:hAnsi="Arial"/>
          <w:color w:val="000000"/>
          <w:lang w:eastAsia="en-US"/>
        </w:rPr>
        <w:t>ANR Fuel Interconnect Agreement dated 11/24/98</w:t>
      </w:r>
    </w:p>
    <w:p>
      <w:pPr>
        <w:pStyle w:val="Normal"/>
        <w:spacing w:lineRule="atLeast" w:line="240"/>
        <w:rPr>
          <w:rFonts w:ascii="Arial" w:hAnsi="Arial" w:cs="Arial"/>
          <w:color w:val="000000"/>
          <w:lang w:eastAsia="en-US"/>
        </w:rPr>
      </w:pPr>
      <w:r>
        <w:rPr>
          <w:rFonts w:cs="Arial" w:ascii="Arial" w:hAnsi="Arial"/>
          <w:color w:val="000000"/>
          <w:lang w:eastAsia="en-US"/>
        </w:rPr>
        <w:t>ANR Interruptible Parking &amp; Lending Services (IPLS) Agreement dated 2/25/99</w:t>
      </w:r>
    </w:p>
    <w:p>
      <w:pPr>
        <w:pStyle w:val="Normal"/>
        <w:spacing w:lineRule="atLeast" w:line="240"/>
        <w:rPr>
          <w:rFonts w:ascii="Arial" w:hAnsi="Arial" w:cs="Arial"/>
          <w:color w:val="000000"/>
          <w:lang w:eastAsia="en-US"/>
        </w:rPr>
      </w:pPr>
      <w:r>
        <w:rPr>
          <w:rFonts w:cs="Arial" w:ascii="Arial" w:hAnsi="Arial"/>
          <w:color w:val="000000"/>
          <w:lang w:eastAsia="en-US"/>
        </w:rPr>
        <w:t>ANR Interruptible Transportation Services (ITS) Agreement dated 2/25/99</w:t>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spacing w:lineRule="atLeast" w:line="240"/>
        <w:rPr>
          <w:rFonts w:ascii="Arial" w:hAnsi="Arial" w:cs="Arial"/>
          <w:b/>
          <w:color w:val="000000"/>
          <w:u w:val="single"/>
          <w:lang w:eastAsia="en-US"/>
        </w:rPr>
      </w:pPr>
      <w:r>
        <w:rPr>
          <w:rFonts w:cs="Arial" w:ascii="Arial" w:hAnsi="Arial"/>
          <w:b/>
          <w:color w:val="000000"/>
          <w:u w:val="single"/>
          <w:lang w:eastAsia="en-US"/>
        </w:rPr>
        <w:t>Answers:</w:t>
      </w:r>
    </w:p>
    <w:p>
      <w:pPr>
        <w:pStyle w:val="BodyText"/>
        <w:rPr/>
      </w:pPr>
      <w:r>
        <w:rPr/>
        <w:t xml:space="preserve">Regarding the </w:t>
      </w:r>
      <w:r>
        <w:rPr>
          <w:u w:val="single"/>
        </w:rPr>
        <w:t>TVA Power Interconnect Agreement dated 1/12/99</w:t>
      </w:r>
      <w:r>
        <w:rPr/>
        <w:t xml:space="preserve"> document, the amount of the Enron Guarantee is $2,000,000. (Page from document to be faxed)</w:t>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spacing w:lineRule="atLeast" w:line="240"/>
        <w:rPr/>
      </w:pPr>
      <w:r>
        <w:rPr>
          <w:rFonts w:cs="Arial" w:ascii="Arial" w:hAnsi="Arial"/>
          <w:b/>
          <w:lang w:eastAsia="en-US"/>
        </w:rPr>
        <w:t xml:space="preserve">Regarding the </w:t>
      </w:r>
      <w:r>
        <w:rPr>
          <w:rFonts w:cs="Arial" w:ascii="Arial" w:hAnsi="Arial"/>
          <w:b/>
          <w:color w:val="000000"/>
          <w:u w:val="single"/>
          <w:lang w:eastAsia="en-US"/>
        </w:rPr>
        <w:t>ANR Fuel Interconnect Agreement dated 11/24/98</w:t>
      </w:r>
      <w:r>
        <w:rPr>
          <w:rFonts w:cs="Arial" w:ascii="Arial" w:hAnsi="Arial"/>
          <w:b/>
          <w:color w:val="000000"/>
          <w:lang w:eastAsia="en-US"/>
        </w:rPr>
        <w:t xml:space="preserve"> document, the amount of the Enron Guarantee is $2,100,000. (Page from document to be faxed)</w:t>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spacing w:lineRule="atLeast" w:line="240"/>
        <w:rPr>
          <w:rFonts w:ascii="Arial" w:hAnsi="Arial" w:cs="Arial"/>
          <w:color w:val="000000"/>
          <w:lang w:eastAsia="en-US"/>
        </w:rPr>
      </w:pPr>
      <w:r>
        <w:rPr>
          <w:rFonts w:cs="Arial" w:ascii="Arial" w:hAnsi="Arial"/>
          <w:b/>
          <w:lang w:eastAsia="en-US"/>
        </w:rPr>
        <w:t xml:space="preserve">Regarding the </w:t>
      </w:r>
      <w:r>
        <w:rPr>
          <w:rFonts w:cs="Arial" w:ascii="Arial" w:hAnsi="Arial"/>
          <w:b/>
          <w:color w:val="000000"/>
          <w:u w:val="single"/>
          <w:lang w:eastAsia="en-US"/>
        </w:rPr>
        <w:t>ANR Interruptible Parking &amp; Lending Services (IPLS) Agreement dated 2/25/99</w:t>
      </w:r>
      <w:r>
        <w:rPr>
          <w:rFonts w:cs="Arial" w:ascii="Arial" w:hAnsi="Arial"/>
          <w:color w:val="000000"/>
          <w:lang w:eastAsia="en-US"/>
        </w:rPr>
        <w:t xml:space="preserve"> </w:t>
      </w:r>
      <w:r>
        <w:rPr>
          <w:rFonts w:cs="Arial" w:ascii="Arial" w:hAnsi="Arial"/>
          <w:b/>
          <w:color w:val="000000"/>
          <w:lang w:eastAsia="en-US"/>
        </w:rPr>
        <w:t>and</w:t>
      </w:r>
      <w:r>
        <w:rPr>
          <w:rFonts w:cs="Arial" w:ascii="Arial" w:hAnsi="Arial"/>
          <w:color w:val="000000"/>
          <w:lang w:eastAsia="en-US"/>
        </w:rPr>
        <w:t xml:space="preserve"> </w:t>
      </w:r>
      <w:r>
        <w:rPr>
          <w:rFonts w:cs="Arial" w:ascii="Arial" w:hAnsi="Arial"/>
          <w:b/>
          <w:color w:val="000000"/>
          <w:u w:val="single"/>
          <w:lang w:eastAsia="en-US"/>
        </w:rPr>
        <w:t xml:space="preserve">ANR Interruptible Transportation Services (ITS) Agreement dated 2/25/99 </w:t>
      </w:r>
      <w:r>
        <w:rPr>
          <w:rFonts w:cs="Arial" w:ascii="Arial" w:hAnsi="Arial"/>
          <w:b/>
          <w:color w:val="000000"/>
          <w:lang w:eastAsia="en-US"/>
        </w:rPr>
        <w:t>documents, there were no “blacked out” or “redacted” numbers corresponding to these documents.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b/>
          <w:color w:val="000000"/>
          <w:u w:val="single"/>
          <w:lang w:eastAsia="en-US"/>
        </w:rPr>
      </w:pPr>
      <w:r>
        <w:rPr>
          <w:rFonts w:cs="Arial" w:ascii="Arial" w:hAnsi="Arial"/>
          <w:b/>
          <w:u w:val="single"/>
        </w:rPr>
        <w:t>Questions:</w:t>
      </w:r>
    </w:p>
    <w:p>
      <w:pPr>
        <w:pStyle w:val="Normal"/>
        <w:spacing w:lineRule="atLeast" w:line="240"/>
        <w:rPr>
          <w:rFonts w:ascii="Arial" w:hAnsi="Arial" w:cs="Arial"/>
          <w:color w:val="000000"/>
          <w:lang w:eastAsia="en-US"/>
        </w:rPr>
      </w:pPr>
      <w:r>
        <w:rPr>
          <w:rFonts w:cs="Arial" w:ascii="Arial" w:hAnsi="Arial"/>
          <w:color w:val="000000"/>
          <w:lang w:eastAsia="en-US"/>
        </w:rPr>
        <w:t>Doc 01.07.02  - Talks about a 15% assessment for ad valorem taxes.</w:t>
      </w:r>
    </w:p>
    <w:p>
      <w:pPr>
        <w:pStyle w:val="Normal"/>
        <w:spacing w:lineRule="atLeast" w:line="240"/>
        <w:rPr>
          <w:rFonts w:ascii="Arial" w:hAnsi="Arial" w:cs="Arial"/>
          <w:color w:val="000000"/>
          <w:lang w:eastAsia="en-US"/>
        </w:rPr>
      </w:pPr>
      <w:r>
        <w:rPr>
          <w:rFonts w:cs="Arial" w:ascii="Arial" w:hAnsi="Arial"/>
          <w:color w:val="000000"/>
          <w:lang w:eastAsia="en-US"/>
        </w:rPr>
        <w:t>Doc 01.07.02.01 - Property tax estimates - estimates from 2001-2019  (tax + pilot payments) are $1M a year till 2009 and then to ~$1.4 M for next few years beg 2010, dropping back down to $700K level.</w:t>
      </w:r>
    </w:p>
    <w:p>
      <w:pPr>
        <w:pStyle w:val="Normal"/>
        <w:spacing w:lineRule="atLeast" w:line="240"/>
        <w:rPr>
          <w:rFonts w:ascii="Arial" w:hAnsi="Arial" w:cs="Arial"/>
          <w:color w:val="000000"/>
          <w:lang w:eastAsia="en-US"/>
        </w:rPr>
      </w:pPr>
      <w:r>
        <w:rPr>
          <w:rFonts w:cs="Arial" w:ascii="Arial" w:hAnsi="Arial"/>
          <w:color w:val="000000"/>
          <w:lang w:eastAsia="en-US"/>
        </w:rPr>
        <w:t>In 2000, the property tax was just $500K, as there seems to be no pilot payment until Jan 2001.</w:t>
      </w:r>
    </w:p>
    <w:p>
      <w:pPr>
        <w:pStyle w:val="BodyText"/>
        <w:rPr>
          <w:rFonts w:ascii="Arial" w:hAnsi="Arial" w:cs="Arial"/>
          <w:color w:val="000000"/>
          <w:lang w:eastAsia="en-US"/>
        </w:rPr>
      </w:pPr>
      <w:r>
        <w:rPr>
          <w:rFonts w:cs="Arial"/>
          <w:color w:val="000000"/>
          <w:lang w:eastAsia="en-US"/>
        </w:rPr>
      </w:r>
    </w:p>
    <w:p>
      <w:pPr>
        <w:pStyle w:val="Normal"/>
        <w:numPr>
          <w:ilvl w:val="0"/>
          <w:numId w:val="2"/>
        </w:numPr>
        <w:spacing w:lineRule="atLeast" w:line="240"/>
        <w:rPr>
          <w:rFonts w:ascii="Arial" w:hAnsi="Arial" w:cs="Arial"/>
          <w:color w:val="000000"/>
          <w:lang w:eastAsia="en-US"/>
        </w:rPr>
      </w:pPr>
      <w:r>
        <w:rPr>
          <w:rFonts w:cs="Arial" w:ascii="Arial" w:hAnsi="Arial"/>
          <w:color w:val="000000"/>
          <w:lang w:eastAsia="en-US"/>
        </w:rPr>
        <w:t>Confirm that the 15% assessment in first doc is included in the estimate.</w:t>
      </w:r>
    </w:p>
    <w:p>
      <w:pPr>
        <w:pStyle w:val="Normal"/>
        <w:numPr>
          <w:ilvl w:val="0"/>
          <w:numId w:val="2"/>
        </w:numPr>
        <w:spacing w:lineRule="atLeast" w:line="240"/>
        <w:rPr>
          <w:rFonts w:ascii="Arial" w:hAnsi="Arial" w:cs="Arial"/>
          <w:color w:val="000000"/>
          <w:lang w:eastAsia="en-US"/>
        </w:rPr>
      </w:pPr>
      <w:r>
        <w:rPr>
          <w:rFonts w:cs="Arial" w:ascii="Arial" w:hAnsi="Arial"/>
          <w:color w:val="000000"/>
          <w:lang w:eastAsia="en-US"/>
        </w:rPr>
        <w:t>The schedule of estimated payments is all inclusive of the payments relating to property taxes.</w:t>
      </w:r>
    </w:p>
    <w:p>
      <w:pPr>
        <w:pStyle w:val="Normal"/>
        <w:spacing w:lineRule="atLeast" w:line="240"/>
        <w:rPr>
          <w:rFonts w:ascii="Arial" w:hAnsi="Arial" w:cs="Arial"/>
          <w:b/>
          <w:color w:val="000000"/>
          <w:u w:val="single"/>
          <w:lang w:eastAsia="en-US"/>
        </w:rPr>
      </w:pPr>
      <w:r>
        <w:rPr>
          <w:rFonts w:cs="Arial" w:ascii="Arial" w:hAnsi="Arial"/>
          <w:color w:val="000000"/>
          <w:lang w:eastAsia="en-US"/>
        </w:rPr>
        <w:t>3.    Refer me to doc that talks about the pilot agreement or any other tax abatement docs.</w:t>
      </w:r>
    </w:p>
    <w:p>
      <w:pPr>
        <w:pStyle w:val="BodyText"/>
        <w:rPr>
          <w:rFonts w:ascii="Arial" w:hAnsi="Arial" w:cs="Arial"/>
          <w:b w:val="false"/>
          <w:color w:val="000000"/>
          <w:u w:val="single"/>
          <w:lang w:eastAsia="en-US"/>
        </w:rPr>
      </w:pPr>
      <w:r>
        <w:rPr>
          <w:rFonts w:cs="Arial"/>
          <w:b w:val="false"/>
          <w:color w:val="000000"/>
          <w:u w:val="single"/>
          <w:lang w:eastAsia="en-US"/>
        </w:rPr>
      </w:r>
    </w:p>
    <w:p>
      <w:pPr>
        <w:pStyle w:val="BodyText"/>
        <w:rPr/>
      </w:pPr>
      <w:r>
        <w:rPr/>
      </w:r>
    </w:p>
    <w:p>
      <w:pPr>
        <w:pStyle w:val="BodyText"/>
        <w:rPr>
          <w:u w:val="single"/>
        </w:rPr>
      </w:pPr>
      <w:r>
        <w:rPr>
          <w:u w:val="single"/>
        </w:rPr>
        <w:t>Answers:</w:t>
      </w:r>
    </w:p>
    <w:p>
      <w:pPr>
        <w:pStyle w:val="BodyText2"/>
        <w:rPr/>
      </w:pPr>
      <w:r>
        <w:rPr/>
        <w:t>1.  The 15% ratio of assessment has been taken into account in the calculation and the payments for the year are total estimated taxes for the year including the payment-in-lieu-of taxes payment ("PILOT").</w:t>
      </w:r>
    </w:p>
    <w:p>
      <w:pPr>
        <w:pStyle w:val="BodyText"/>
        <w:rPr>
          <w:b w:val="false"/>
        </w:rPr>
      </w:pPr>
      <w:r>
        <w:rPr/>
        <w:t>2.  Property tax payments for any given assessment year in Mississippi are paid in January of the year following the year of assessment.  For example, the property taxes for the 2000 year assessment year are paid in January 2001 and the payment schedule reflects that ($591,200).  The other figure that shows in the column are property taxes for that year to be paid in the following year.</w:t>
      </w:r>
    </w:p>
    <w:p>
      <w:pPr>
        <w:pStyle w:val="Normal"/>
        <w:rPr>
          <w:rFonts w:ascii="Arial" w:hAnsi="Arial" w:cs="Arial"/>
          <w:b/>
          <w:color w:val="000000"/>
          <w:lang w:eastAsia="en-US"/>
        </w:rPr>
      </w:pPr>
      <w:r>
        <w:rPr>
          <w:rFonts w:cs="Arial" w:ascii="Arial" w:hAnsi="Arial"/>
          <w:b/>
          <w:color w:val="000000"/>
          <w:lang w:eastAsia="en-US"/>
        </w:rPr>
        <w:t>The document for the PILOT agreement has been supplied to the Duke Property Tax Department, where you can contact Kelly Voelkel for any additional and/or specific information.</w:t>
      </w:r>
    </w:p>
    <w:p>
      <w:pPr>
        <w:pStyle w:val="Heading2"/>
        <w:ind w:hanging="0" w:start="0"/>
        <w:rPr/>
      </w:pPr>
      <w:r>
        <w:rPr/>
        <w:t>3.  Please refer to DealBench Doc. # 01.02.19.B.  Pages 9 through 11 regarding the Pilot Payments.</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lang w:eastAsia="en-US"/>
        </w:rPr>
      </w:pPr>
      <w:r>
        <w:rPr>
          <w:rFonts w:cs="Arial" w:ascii="Arial" w:hAnsi="Arial"/>
          <w:b/>
          <w:lang w:eastAsia="en-US"/>
        </w:rPr>
        <w:t>THE INFORMATION CONTAINED HEREIN IS BEING PROVIDED TO YOU PURSUANT TO AND SHOULD BE GOVERNED BY THAT CERTAIN CONFIDENTIALITY AGREEMENT ENTERED INTO AS OF NOVEMBER 2000 BY AND BETWEEN ENRON NORTH AMERICA  CORP. AND YOUR COMPANY.</w:t>
      </w:r>
    </w:p>
    <w:p>
      <w:pPr>
        <w:pStyle w:val="Normal"/>
        <w:rPr>
          <w:rFonts w:ascii="Arial" w:hAnsi="Arial" w:cs="Arial"/>
          <w:b/>
          <w:lang w:eastAsia="en-US"/>
        </w:rPr>
      </w:pPr>
      <w:r>
        <w:rPr>
          <w:rFonts w:cs="Arial" w:ascii="Arial" w:hAnsi="Arial"/>
          <w:b/>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b/>
      <w:color w:val="000000"/>
      <w:lang w:eastAsia="en-U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jc w:val="both"/>
    </w:pPr>
    <w:rPr>
      <w:rFonts w:ascii="Arial" w:hAnsi="Arial" w:cs="Arial"/>
      <w:b/>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2000-12-05T21:57:00Z</dcterms:created>
  <dc:creator>Ben Rogers</dc:creator>
  <dc:description/>
  <dc:language>en-CA</dc:language>
  <cp:lastModifiedBy>Ben Rogers</cp:lastModifiedBy>
  <cp:lastPrinted>2000-12-06T11:12:00Z</cp:lastPrinted>
  <dcterms:modified xsi:type="dcterms:W3CDTF">2000-12-06T17:50:00Z</dcterms:modified>
  <cp:revision>28</cp:revision>
  <dc:subject/>
  <dc:title>Question &amp; Answers for Duke Energy</dc:title>
</cp:coreProperties>
</file>