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Risk Management &amp; Trading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646-2495 </w:t>
            </w:r>
          </w:p>
          <w:p>
            <w:pPr>
              <w:pStyle w:val="Normal"/>
              <w:tabs>
                <w:tab w:val="clear" w:pos="720"/>
                <w:tab w:val="left" w:pos="2412" w:leader="none"/>
              </w:tabs>
              <w:ind w:start="1962" w:end="0"/>
              <w:rPr>
                <w:i/>
                <w:i/>
                <w:sz w:val="22"/>
              </w:rPr>
            </w:pPr>
            <w:r>
              <w:rPr>
                <w:i/>
                <w:sz w:val="22"/>
              </w:rPr>
            </w:r>
          </w:p>
        </w:tc>
      </w:tr>
      <w:tr>
        <w:trPr/>
        <w:tc>
          <w:tcPr>
            <w:tcW w:w="4698" w:type="dxa"/>
            <w:tcBorders/>
          </w:tcPr>
          <w:p>
            <w:pPr>
              <w:pStyle w:val="Normal"/>
              <w:snapToGrid w:val="false"/>
              <w:rPr>
                <w:sz w:val="22"/>
              </w:rPr>
            </w:pPr>
            <w:r>
              <w:rPr>
                <w:sz w:val="22"/>
              </w:rPr>
            </w:r>
          </w:p>
        </w:tc>
        <w:tc>
          <w:tcPr>
            <w:tcW w:w="4878" w:type="dxa"/>
            <w:tcBorders/>
          </w:tcPr>
          <w:p>
            <w:pPr>
              <w:pStyle w:val="Normal"/>
              <w:tabs>
                <w:tab w:val="clear" w:pos="720"/>
                <w:tab w:val="left" w:pos="2412" w:leader="none"/>
              </w:tabs>
              <w:snapToGrid w:val="false"/>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t>March 7, 2000</w:t>
      </w:r>
    </w:p>
    <w:p>
      <w:pPr>
        <w:pStyle w:val="Normal"/>
        <w:rPr>
          <w:sz w:val="22"/>
        </w:rPr>
      </w:pPr>
      <w:r>
        <w:rPr>
          <w:sz w:val="22"/>
        </w:rPr>
        <w:t>To:</w:t>
        <w:tab/>
        <w:tab/>
        <w:t>Enron Comercializadora de Energia Argentina S.A. ("Party B")</w:t>
      </w:r>
    </w:p>
    <w:p>
      <w:pPr>
        <w:pStyle w:val="Normal"/>
        <w:rPr>
          <w:sz w:val="22"/>
        </w:rPr>
      </w:pPr>
      <w:r>
        <w:rPr>
          <w:sz w:val="22"/>
        </w:rPr>
        <w:t>Attention:</w:t>
        <w:tab/>
        <w:t>Mr. Brent Hendry</w:t>
      </w:r>
    </w:p>
    <w:p>
      <w:pPr>
        <w:pStyle w:val="Normal"/>
        <w:rPr>
          <w:sz w:val="22"/>
        </w:rPr>
      </w:pPr>
      <w:r>
        <w:rPr>
          <w:sz w:val="22"/>
        </w:rPr>
        <w:t>Fax No.:</w:t>
        <w:tab/>
        <w:t>5411-4315-2514</w:t>
      </w:r>
    </w:p>
    <w:p>
      <w:pPr>
        <w:pStyle w:val="Normal"/>
        <w:rPr>
          <w:sz w:val="22"/>
        </w:rPr>
      </w:pPr>
      <w:r>
        <w:rPr>
          <w:sz w:val="22"/>
        </w:rPr>
        <w:t>From:</w:t>
        <w:tab/>
        <w:tab/>
        <w:t>Risk Management &amp; Trading Corp. (“Party A”)</w:t>
      </w:r>
    </w:p>
    <w:p>
      <w:pPr>
        <w:pStyle w:val="Normal"/>
        <w:rPr>
          <w:sz w:val="22"/>
        </w:rPr>
      </w:pPr>
      <w:r>
        <w:rPr>
          <w:sz w:val="22"/>
        </w:rPr>
        <w:t>Re:</w:t>
        <w:tab/>
        <w:tab/>
        <w:t>Commodity Swap – Deal No. AR0003.3</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July 23, 1999,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May 2000:</w:t>
            </w:r>
          </w:p>
        </w:tc>
        <w:tc>
          <w:tcPr>
            <w:tcW w:w="6102" w:type="dxa"/>
            <w:tcBorders/>
          </w:tcPr>
          <w:p>
            <w:pPr>
              <w:pStyle w:val="Normal"/>
              <w:rPr>
                <w:sz w:val="22"/>
              </w:rPr>
            </w:pPr>
            <w:r>
              <w:rPr>
                <w:sz w:val="22"/>
              </w:rPr>
              <w:t>20 MW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June 2000:</w:t>
            </w:r>
          </w:p>
        </w:tc>
        <w:tc>
          <w:tcPr>
            <w:tcW w:w="6102" w:type="dxa"/>
            <w:tcBorders/>
          </w:tcPr>
          <w:p>
            <w:pPr>
              <w:pStyle w:val="Normal"/>
              <w:rPr>
                <w:sz w:val="22"/>
              </w:rPr>
            </w:pPr>
            <w:r>
              <w:rPr>
                <w:sz w:val="22"/>
              </w:rPr>
              <w:t>20 MW for each hour during the Calculation Period for a total of 14,400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July 2000:</w:t>
            </w:r>
          </w:p>
        </w:tc>
        <w:tc>
          <w:tcPr>
            <w:tcW w:w="6102" w:type="dxa"/>
            <w:tcBorders/>
          </w:tcPr>
          <w:p>
            <w:pPr>
              <w:pStyle w:val="Normal"/>
              <w:rPr>
                <w:sz w:val="22"/>
              </w:rPr>
            </w:pPr>
            <w:r>
              <w:rPr>
                <w:sz w:val="22"/>
              </w:rPr>
              <w:t>20 MW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August 2000:</w:t>
            </w:r>
          </w:p>
        </w:tc>
        <w:tc>
          <w:tcPr>
            <w:tcW w:w="6102" w:type="dxa"/>
            <w:tcBorders/>
          </w:tcPr>
          <w:p>
            <w:pPr>
              <w:pStyle w:val="Normal"/>
              <w:rPr>
                <w:sz w:val="22"/>
              </w:rPr>
            </w:pPr>
            <w:r>
              <w:rPr>
                <w:sz w:val="22"/>
              </w:rPr>
              <w:t>20 MW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September 2000:</w:t>
            </w:r>
          </w:p>
        </w:tc>
        <w:tc>
          <w:tcPr>
            <w:tcW w:w="6102" w:type="dxa"/>
            <w:tcBorders/>
          </w:tcPr>
          <w:p>
            <w:pPr>
              <w:pStyle w:val="Normal"/>
              <w:rPr>
                <w:sz w:val="22"/>
              </w:rPr>
            </w:pPr>
            <w:r>
              <w:rPr>
                <w:sz w:val="22"/>
              </w:rPr>
              <w:t>20 MW for each hour during the Calculation Period for a total of 14,400 MWh</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Total Notional Quantity:</w:t>
            </w:r>
          </w:p>
        </w:tc>
        <w:tc>
          <w:tcPr>
            <w:tcW w:w="6102" w:type="dxa"/>
            <w:tcBorders/>
          </w:tcPr>
          <w:p>
            <w:pPr>
              <w:pStyle w:val="Normal"/>
              <w:snapToGrid w:val="false"/>
              <w:ind w:firstLine="720" w:end="0"/>
              <w:rPr>
                <w:sz w:val="22"/>
              </w:rPr>
            </w:pPr>
            <w:r>
              <w:rPr>
                <w:sz w:val="22"/>
              </w:rPr>
            </w:r>
          </w:p>
          <w:p>
            <w:pPr>
              <w:pStyle w:val="Normal"/>
              <w:rPr>
                <w:sz w:val="22"/>
              </w:rPr>
            </w:pPr>
            <w:r>
              <w:rPr>
                <w:sz w:val="22"/>
              </w:rPr>
            </w:r>
          </w:p>
          <w:p>
            <w:pPr>
              <w:pStyle w:val="Normal"/>
              <w:rPr>
                <w:sz w:val="22"/>
              </w:rPr>
            </w:pPr>
            <w:r>
              <w:rPr>
                <w:sz w:val="22"/>
              </w:rPr>
              <w:t>73,440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March 07,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May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2000</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May 1, 2000 and ending September 30, 2000</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 Dollars $20.25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 xml:space="preserve">The average of the daily Energy Price at the Ezeiza Market Node Center for each day during the Calculation Period. </w:t>
            </w:r>
          </w:p>
          <w:p>
            <w:pPr>
              <w:pStyle w:val="Normal"/>
              <w:jc w:val="both"/>
              <w:rPr>
                <w:sz w:val="22"/>
              </w:rPr>
            </w:pPr>
            <w:r>
              <w:rPr>
                <w:sz w:val="22"/>
              </w:rPr>
            </w:r>
          </w:p>
          <w:p>
            <w:pPr>
              <w:pStyle w:val="Normal"/>
              <w:jc w:val="both"/>
              <w:rPr/>
            </w:pPr>
            <w:r>
              <w:rPr>
                <w:sz w:val="22"/>
              </w:rPr>
              <w:t>“</w:t>
            </w:r>
            <w:r>
              <w:rPr>
                <w:sz w:val="22"/>
              </w:rPr>
              <w:t xml:space="preserve">Energy Price” means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w:t>
            </w:r>
          </w:p>
          <w:p>
            <w:pPr>
              <w:pStyle w:val="Normal"/>
              <w:jc w:val="both"/>
              <w:rPr>
                <w:sz w:val="22"/>
              </w:rPr>
            </w:pPr>
            <w:r>
              <w:rPr>
                <w:sz w:val="22"/>
              </w:rPr>
            </w:r>
          </w:p>
          <w:p>
            <w:pPr>
              <w:pStyle w:val="Normal"/>
              <w:jc w:val="both"/>
              <w:rPr>
                <w:color w:val="000000"/>
                <w:sz w:val="22"/>
                <w:lang w:eastAsia="en-US"/>
              </w:rPr>
            </w:pPr>
            <w:r>
              <w:rPr>
                <w:color w:val="000000"/>
                <w:sz w:val="22"/>
                <w:lang w:eastAsia="en-US"/>
              </w:rPr>
              <w:t xml:space="preserve">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w:t>
            </w:r>
          </w:p>
          <w:p>
            <w:pPr>
              <w:pStyle w:val="Normal"/>
              <w:jc w:val="both"/>
              <w:rPr>
                <w:sz w:val="22"/>
              </w:rPr>
            </w:pPr>
            <w:r>
              <w:rPr>
                <w:color w:val="000000"/>
                <w:sz w:val="22"/>
                <w:lang w:eastAsia="en-US"/>
              </w:rPr>
              <w:t>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tc>
        <w:tc>
          <w:tcPr>
            <w:tcW w:w="6102" w:type="dxa"/>
            <w:tcBorders/>
          </w:tcPr>
          <w:p>
            <w:pPr>
              <w:pStyle w:val="Normal"/>
              <w:snapToGrid w:val="false"/>
              <w:jc w:val="both"/>
              <w:rPr>
                <w:sz w:val="22"/>
              </w:rPr>
            </w:pPr>
            <w:r>
              <w:rPr>
                <w:sz w:val="22"/>
              </w:rPr>
            </w:r>
          </w:p>
          <w:p>
            <w:pPr>
              <w:pStyle w:val="Normal"/>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two (2) decimal places. If the third (3rd) decimal number is five (5) or greater, then the second (2nd) decimal number shall be increased by one (1), and if the third (3rd) decimal number is less than five (5), then the second (2nd)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Risk Management &amp; Trading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Risk Management &amp; Trading Corp.</w:t>
            </w:r>
          </w:p>
          <w:p>
            <w:pPr>
              <w:pStyle w:val="Normal"/>
              <w:rPr>
                <w:sz w:val="22"/>
              </w:rPr>
            </w:pPr>
            <w:r>
              <w:rPr>
                <w:sz w:val="22"/>
              </w:rPr>
              <w:tab/>
              <w:tab/>
              <w:tab/>
              <w:tab/>
              <w:tab/>
            </w:r>
          </w:p>
          <w:p>
            <w:pPr>
              <w:pStyle w:val="Normal"/>
              <w:rPr>
                <w:sz w:val="22"/>
                <w:u w:val="single"/>
              </w:rPr>
            </w:pPr>
            <w:r>
              <w:rPr>
                <w:sz w:val="22"/>
              </w:rPr>
              <w:t>By: _____________________________</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Deal No. AR0003.3</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Enron Comercializadora de Energia Argentina S.A.</w:t>
            </w:r>
          </w:p>
          <w:p>
            <w:pPr>
              <w:pStyle w:val="Normal"/>
              <w:rPr>
                <w:sz w:val="22"/>
              </w:rPr>
            </w:pPr>
            <w:r>
              <w:rPr>
                <w:sz w:val="22"/>
              </w:rPr>
            </w:r>
          </w:p>
          <w:p>
            <w:pPr>
              <w:pStyle w:val="Normal"/>
              <w:rPr>
                <w:sz w:val="22"/>
              </w:rPr>
            </w:pPr>
            <w:r>
              <w:rPr>
                <w:sz w:val="22"/>
              </w:rPr>
              <w:t>By: ____________________________</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Deal No. AR0003.3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2000-03-07T17:34:00Z</dcterms:created>
  <dc:creator>ECT</dc:creator>
  <dc:description/>
  <dc:language>en-CA</dc:language>
  <cp:lastModifiedBy>Sheetal H. Patel</cp:lastModifiedBy>
  <cp:lastPrinted>2000-03-03T18:23:00Z</cp:lastPrinted>
  <dcterms:modified xsi:type="dcterms:W3CDTF">2000-03-07T17:42:00Z</dcterms:modified>
  <cp:revision>4</cp:revision>
  <dc:subject/>
  <dc:title>222216.1</dc:title>
</cp:coreProperties>
</file>