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 xml:space="preserve">Fax (713) 646-4618 </w:t>
            </w:r>
          </w:p>
          <w:p>
            <w:pPr>
              <w:pStyle w:val="Normal"/>
              <w:tabs>
                <w:tab w:val="clear" w:pos="720"/>
                <w:tab w:val="left" w:pos="2412" w:leader="none"/>
              </w:tabs>
              <w:ind w:start="1962" w:end="0"/>
              <w:rPr>
                <w:i/>
                <w:i/>
                <w:sz w:val="22"/>
              </w:rPr>
            </w:pPr>
            <w:r>
              <w:rPr>
                <w:i/>
                <w:sz w:val="22"/>
              </w:rPr>
            </w:r>
          </w:p>
        </w:tc>
      </w:tr>
      <w:tr>
        <w:trPr/>
        <w:tc>
          <w:tcPr>
            <w:tcW w:w="4698" w:type="dxa"/>
            <w:tcBorders/>
          </w:tcPr>
          <w:p>
            <w:pPr>
              <w:pStyle w:val="Normal"/>
              <w:snapToGrid w:val="false"/>
              <w:rPr>
                <w:sz w:val="22"/>
              </w:rPr>
            </w:pPr>
            <w:r>
              <w:rPr>
                <w:sz w:val="22"/>
              </w:rPr>
            </w:r>
          </w:p>
        </w:tc>
        <w:tc>
          <w:tcPr>
            <w:tcW w:w="4878" w:type="dxa"/>
            <w:tcBorders/>
          </w:tcPr>
          <w:p>
            <w:pPr>
              <w:pStyle w:val="Normal"/>
              <w:tabs>
                <w:tab w:val="clear" w:pos="720"/>
                <w:tab w:val="left" w:pos="2412" w:leader="none"/>
              </w:tabs>
              <w:snapToGrid w:val="false"/>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b/>
          <w:sz w:val="22"/>
        </w:rPr>
      </w:pPr>
      <w:r>
        <w:rPr>
          <w:b/>
          <w:sz w:val="22"/>
        </w:rPr>
        <w:t>(SWAP)</w:t>
      </w:r>
    </w:p>
    <w:p>
      <w:pPr>
        <w:pStyle w:val="Normal"/>
        <w:tabs>
          <w:tab w:val="clear" w:pos="720"/>
          <w:tab w:val="left" w:pos="3870" w:leader="none"/>
        </w:tabs>
        <w:jc w:val="center"/>
        <w:rPr>
          <w:b/>
          <w:sz w:val="22"/>
        </w:rPr>
      </w:pPr>
      <w:r>
        <w:rPr>
          <w:b/>
          <w:sz w:val="22"/>
        </w:rPr>
      </w:r>
    </w:p>
    <w:p>
      <w:pPr>
        <w:pStyle w:val="Normal"/>
        <w:tabs>
          <w:tab w:val="clear" w:pos="720"/>
          <w:tab w:val="left" w:pos="3870" w:leader="none"/>
        </w:tabs>
        <w:rPr>
          <w:b/>
          <w:sz w:val="22"/>
        </w:rPr>
      </w:pPr>
      <w:r>
        <w:rPr>
          <w:b/>
          <w:sz w:val="22"/>
        </w:rPr>
      </w:r>
    </w:p>
    <w:p>
      <w:pPr>
        <w:pStyle w:val="Normal"/>
        <w:rPr>
          <w:sz w:val="22"/>
        </w:rPr>
      </w:pPr>
      <w:r>
        <w:rPr>
          <w:sz w:val="22"/>
        </w:rPr>
        <w:t>Date:</w:t>
        <w:tab/>
        <w:tab/>
        <w:t>March 7, 2000</w:t>
      </w:r>
    </w:p>
    <w:p>
      <w:pPr>
        <w:pStyle w:val="Normal"/>
        <w:rPr>
          <w:sz w:val="22"/>
        </w:rPr>
      </w:pPr>
      <w:r>
        <w:rPr>
          <w:sz w:val="22"/>
        </w:rPr>
        <w:t>To:</w:t>
        <w:tab/>
        <w:tab/>
        <w:t>Duke Energy International, L.L.C. ("Party B")</w:t>
      </w:r>
    </w:p>
    <w:p>
      <w:pPr>
        <w:pStyle w:val="Normal"/>
        <w:rPr>
          <w:sz w:val="22"/>
        </w:rPr>
      </w:pPr>
      <w:r>
        <w:rPr>
          <w:sz w:val="22"/>
        </w:rPr>
        <w:t>Attention:</w:t>
        <w:tab/>
        <w:t>Ashley Abbott</w:t>
      </w:r>
    </w:p>
    <w:p>
      <w:pPr>
        <w:pStyle w:val="Normal"/>
        <w:rPr>
          <w:sz w:val="22"/>
        </w:rPr>
      </w:pPr>
      <w:r>
        <w:rPr>
          <w:sz w:val="22"/>
        </w:rPr>
        <w:t>Fax No.:</w:t>
        <w:tab/>
        <w:t>713-627-6524</w:t>
      </w:r>
    </w:p>
    <w:p>
      <w:pPr>
        <w:pStyle w:val="Normal"/>
        <w:rPr>
          <w:sz w:val="22"/>
        </w:rPr>
      </w:pPr>
      <w:r>
        <w:rPr>
          <w:sz w:val="22"/>
        </w:rPr>
        <w:t>From:</w:t>
        <w:tab/>
        <w:tab/>
        <w:t>Enron North America Corp (“Party A”)</w:t>
      </w:r>
    </w:p>
    <w:p>
      <w:pPr>
        <w:pStyle w:val="Normal"/>
        <w:rPr>
          <w:sz w:val="22"/>
        </w:rPr>
      </w:pPr>
      <w:r>
        <w:rPr>
          <w:sz w:val="22"/>
        </w:rPr>
        <w:t>Re:</w:t>
        <w:tab/>
        <w:tab/>
        <w:t>Commodity Swap – Deal No. AR0003.1</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August 16, 1999,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p>
            <w:pPr>
              <w:pStyle w:val="Normal"/>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May 2000:</w:t>
            </w:r>
          </w:p>
        </w:tc>
        <w:tc>
          <w:tcPr>
            <w:tcW w:w="6102" w:type="dxa"/>
            <w:tcBorders/>
          </w:tcPr>
          <w:p>
            <w:pPr>
              <w:pStyle w:val="Normal"/>
              <w:rPr>
                <w:sz w:val="22"/>
              </w:rPr>
            </w:pPr>
            <w:r>
              <w:rPr>
                <w:sz w:val="22"/>
              </w:rPr>
              <w:t>20 MW for each hour during the Calculation Period for a total of 14,880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June 2000:</w:t>
            </w:r>
          </w:p>
        </w:tc>
        <w:tc>
          <w:tcPr>
            <w:tcW w:w="6102" w:type="dxa"/>
            <w:tcBorders/>
          </w:tcPr>
          <w:p>
            <w:pPr>
              <w:pStyle w:val="Normal"/>
              <w:rPr>
                <w:sz w:val="22"/>
              </w:rPr>
            </w:pPr>
            <w:r>
              <w:rPr>
                <w:sz w:val="22"/>
              </w:rPr>
              <w:t>20 MW for each hour during the Calculation Period for a total of 14,400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July 2000:</w:t>
            </w:r>
          </w:p>
        </w:tc>
        <w:tc>
          <w:tcPr>
            <w:tcW w:w="6102" w:type="dxa"/>
            <w:tcBorders/>
          </w:tcPr>
          <w:p>
            <w:pPr>
              <w:pStyle w:val="Normal"/>
              <w:rPr>
                <w:sz w:val="22"/>
              </w:rPr>
            </w:pPr>
            <w:r>
              <w:rPr>
                <w:sz w:val="22"/>
              </w:rPr>
              <w:t>20 MW for each hour during the Calculation Period for a total of 14,880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August 2000:</w:t>
            </w:r>
          </w:p>
        </w:tc>
        <w:tc>
          <w:tcPr>
            <w:tcW w:w="6102" w:type="dxa"/>
            <w:tcBorders/>
          </w:tcPr>
          <w:p>
            <w:pPr>
              <w:pStyle w:val="Normal"/>
              <w:rPr>
                <w:sz w:val="22"/>
              </w:rPr>
            </w:pPr>
            <w:r>
              <w:rPr>
                <w:sz w:val="22"/>
              </w:rPr>
              <w:t>20 MW for each hour during the Calculation Period for a total of 14,880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September 2000:</w:t>
            </w:r>
          </w:p>
        </w:tc>
        <w:tc>
          <w:tcPr>
            <w:tcW w:w="6102" w:type="dxa"/>
            <w:tcBorders/>
          </w:tcPr>
          <w:p>
            <w:pPr>
              <w:pStyle w:val="Normal"/>
              <w:rPr>
                <w:sz w:val="22"/>
              </w:rPr>
            </w:pPr>
            <w:r>
              <w:rPr>
                <w:sz w:val="22"/>
              </w:rPr>
              <w:t>20 MW for each hour during the Calculation Period for a total of 14,400 MWh</w:t>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t>Total Notional Quantity:</w:t>
            </w:r>
          </w:p>
        </w:tc>
        <w:tc>
          <w:tcPr>
            <w:tcW w:w="6102" w:type="dxa"/>
            <w:tcBorders/>
          </w:tcPr>
          <w:p>
            <w:pPr>
              <w:pStyle w:val="Normal"/>
              <w:snapToGrid w:val="false"/>
              <w:ind w:firstLine="720" w:end="0"/>
              <w:rPr>
                <w:sz w:val="22"/>
              </w:rPr>
            </w:pPr>
            <w:r>
              <w:rPr>
                <w:sz w:val="22"/>
              </w:rPr>
            </w:r>
          </w:p>
          <w:p>
            <w:pPr>
              <w:pStyle w:val="Normal"/>
              <w:rPr>
                <w:sz w:val="22"/>
              </w:rPr>
            </w:pPr>
            <w:r>
              <w:rPr>
                <w:sz w:val="22"/>
              </w:rPr>
            </w:r>
          </w:p>
          <w:p>
            <w:pPr>
              <w:pStyle w:val="Normal"/>
              <w:rPr>
                <w:sz w:val="22"/>
              </w:rPr>
            </w:pPr>
            <w:r>
              <w:rPr>
                <w:sz w:val="22"/>
              </w:rPr>
              <w:t>73,440 MWh</w:t>
            </w:r>
          </w:p>
          <w:p>
            <w:pPr>
              <w:pStyle w:val="Normal"/>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Megawatt hours (“MWh”)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t>March 07,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May 1,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30, 2000</w:t>
            </w:r>
          </w:p>
        </w:tc>
      </w:tr>
      <w:tr>
        <w:trPr/>
        <w:tc>
          <w:tcPr>
            <w:tcW w:w="4338" w:type="dxa"/>
            <w:tcBorders/>
          </w:tcPr>
          <w:p>
            <w:pPr>
              <w:pStyle w:val="Normal"/>
              <w:snapToGrid w:val="false"/>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 beginning with May 1, 2000 and ending September 30, 2000</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date on which the Floating Price is determinable for each Calculation Period</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t>Party 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US Dollars $20.25 per MWh</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t>Party 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jc w:val="both"/>
              <w:rPr>
                <w:sz w:val="22"/>
              </w:rPr>
            </w:pPr>
            <w:r>
              <w:rPr>
                <w:sz w:val="22"/>
              </w:rPr>
              <w:t xml:space="preserve">The average of the daily Energy Price at the Ezeiza Market Node Center for each day during the Calculation Period. </w:t>
            </w:r>
          </w:p>
          <w:p>
            <w:pPr>
              <w:pStyle w:val="Normal"/>
              <w:jc w:val="both"/>
              <w:rPr>
                <w:sz w:val="22"/>
              </w:rPr>
            </w:pPr>
            <w:r>
              <w:rPr>
                <w:sz w:val="22"/>
              </w:rPr>
            </w:r>
          </w:p>
          <w:p>
            <w:pPr>
              <w:pStyle w:val="Normal"/>
              <w:jc w:val="both"/>
              <w:rPr/>
            </w:pPr>
            <w:r>
              <w:rPr>
                <w:sz w:val="22"/>
              </w:rPr>
              <w:t>“</w:t>
            </w:r>
            <w:r>
              <w:rPr>
                <w:sz w:val="22"/>
              </w:rPr>
              <w:t xml:space="preserve">Energy Price” means the average hourly price, quoted in Argentine Pesos, for each day as published electronically in the </w:t>
            </w:r>
            <w:r>
              <w:rPr>
                <w:color w:val="000000"/>
                <w:sz w:val="22"/>
                <w:lang w:eastAsia="en-US"/>
              </w:rPr>
              <w:t>"Documento de Transacciones Económicas" (DTE)</w:t>
            </w:r>
            <w:r>
              <w:rPr>
                <w:sz w:val="22"/>
              </w:rPr>
              <w:t xml:space="preserve"> under the annex set forth in the “Generadores” file labeled “A1.7  Precios Del Mercado en $/MWH – Mercado” as published by the “Compañia Administradora del Mercado Mayorista Eléctrico Sociedad Anónima” (“CAMMESA”).</w:t>
            </w:r>
          </w:p>
          <w:p>
            <w:pPr>
              <w:pStyle w:val="Normal"/>
              <w:jc w:val="both"/>
              <w:rPr>
                <w:sz w:val="22"/>
              </w:rPr>
            </w:pPr>
            <w:r>
              <w:rPr>
                <w:sz w:val="22"/>
              </w:rPr>
            </w:r>
          </w:p>
          <w:p>
            <w:pPr>
              <w:pStyle w:val="Normal"/>
              <w:jc w:val="both"/>
              <w:rPr>
                <w:color w:val="000000"/>
                <w:sz w:val="22"/>
                <w:lang w:eastAsia="en-US"/>
              </w:rPr>
            </w:pPr>
            <w:r>
              <w:rPr>
                <w:color w:val="000000"/>
                <w:sz w:val="22"/>
                <w:lang w:eastAsia="en-US"/>
              </w:rPr>
              <w:t xml:space="preserve">The parties agree that the Floating Amounts payable under this Transaction shall be made in US Dollars, and the rate of exchange of Argentine Pesos to US Dollars shall be of one (1) Argentine Peso per US Dollar as set forth under Law 23,928, as amended, while there is free convertibility of the Argentine Peso and the rate of exchange therein set forth is of one (1) Argentine Peso per US Dollar. Otherwise, the rate of exchange between Argentine Pesos and US Dollars shall be calculated using the exchange rate, sell, for transfers abroad established by Banco Nación Argentina at the closing of the Business Day prior to that on which payment </w:t>
            </w:r>
          </w:p>
          <w:p>
            <w:pPr>
              <w:pStyle w:val="Normal"/>
              <w:jc w:val="both"/>
              <w:rPr>
                <w:sz w:val="22"/>
              </w:rPr>
            </w:pPr>
            <w:r>
              <w:rPr>
                <w:color w:val="000000"/>
                <w:sz w:val="22"/>
                <w:lang w:eastAsia="en-US"/>
              </w:rPr>
              <w:t>is effected. Argentine Peso means the lawful currency of the Republic of Argentina.</w:t>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tc>
        <w:tc>
          <w:tcPr>
            <w:tcW w:w="6102" w:type="dxa"/>
            <w:tcBorders/>
          </w:tcPr>
          <w:p>
            <w:pPr>
              <w:pStyle w:val="Normal"/>
              <w:snapToGrid w:val="false"/>
              <w:jc w:val="both"/>
              <w:rPr>
                <w:sz w:val="22"/>
              </w:rPr>
            </w:pPr>
            <w:r>
              <w:rPr>
                <w:sz w:val="22"/>
              </w:rPr>
            </w:r>
          </w:p>
          <w:p>
            <w:pPr>
              <w:pStyle w:val="Normal"/>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two (2) decimal places. If the third (3rd) decimal number is five (5) or greater, then the second (2nd) decimal number shall be increased by one (1), and if the third (3rd) decimal number is less than five (5), then the second (2nd)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jc w:val="both"/>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ind w:firstLine="720" w:end="0"/>
              <w:jc w:val="both"/>
              <w:rPr>
                <w:sz w:val="22"/>
              </w:rPr>
            </w:pPr>
            <w:r>
              <w:rPr>
                <w:sz w:val="22"/>
              </w:rPr>
              <w:t>Enron North America Corp. is pleased to have entered into this Transaction with you.</w:t>
            </w:r>
          </w:p>
        </w:tc>
      </w:tr>
      <w:tr>
        <w:trPr/>
        <w:tc>
          <w:tcPr>
            <w:tcW w:w="10440" w:type="dxa"/>
            <w:tcBorders/>
          </w:tcPr>
          <w:p>
            <w:pPr>
              <w:pStyle w:val="Normal"/>
              <w:snapToGrid w:val="false"/>
              <w:jc w:val="both"/>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t>Enron North America Corp.</w:t>
            </w:r>
          </w:p>
          <w:p>
            <w:pPr>
              <w:pStyle w:val="Normal"/>
              <w:rPr>
                <w:sz w:val="22"/>
              </w:rPr>
            </w:pPr>
            <w:r>
              <w:rPr>
                <w:sz w:val="22"/>
              </w:rPr>
              <w:tab/>
              <w:tab/>
              <w:tab/>
              <w:tab/>
              <w:tab/>
            </w:r>
          </w:p>
          <w:p>
            <w:pPr>
              <w:pStyle w:val="Normal"/>
              <w:rPr>
                <w:sz w:val="22"/>
                <w:u w:val="single"/>
              </w:rPr>
            </w:pPr>
            <w:r>
              <w:rPr>
                <w:sz w:val="22"/>
              </w:rPr>
              <w:t>By: _____________________________</w:t>
            </w:r>
          </w:p>
          <w:p>
            <w:pPr>
              <w:pStyle w:val="Normal"/>
              <w:rPr>
                <w:sz w:val="22"/>
              </w:rPr>
            </w:pPr>
            <w:r>
              <w:rPr>
                <w:sz w:val="22"/>
              </w:rPr>
              <w:t>Name: ___________________________</w:t>
            </w:r>
          </w:p>
          <w:p>
            <w:pPr>
              <w:pStyle w:val="Normal"/>
              <w:rPr>
                <w:sz w:val="22"/>
              </w:rPr>
            </w:pPr>
            <w:r>
              <w:rPr>
                <w:sz w:val="22"/>
              </w:rPr>
              <w:t>Title: ____________________________</w:t>
            </w:r>
          </w:p>
        </w:tc>
        <w:tc>
          <w:tcPr>
            <w:tcW w:w="5292" w:type="dxa"/>
            <w:tcBorders/>
          </w:tcPr>
          <w:p>
            <w:pPr>
              <w:pStyle w:val="Normal"/>
              <w:rPr>
                <w:sz w:val="22"/>
              </w:rPr>
            </w:pPr>
            <w:r>
              <w:rPr>
                <w:sz w:val="22"/>
              </w:rPr>
              <w:t>Deal No. AR0003.1</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t>Duke Energy International, L.L.C.</w:t>
            </w:r>
          </w:p>
          <w:p>
            <w:pPr>
              <w:pStyle w:val="Normal"/>
              <w:rPr>
                <w:sz w:val="22"/>
              </w:rPr>
            </w:pPr>
            <w:r>
              <w:rPr>
                <w:sz w:val="22"/>
              </w:rPr>
            </w:r>
          </w:p>
          <w:p>
            <w:pPr>
              <w:pStyle w:val="Normal"/>
              <w:rPr>
                <w:sz w:val="22"/>
              </w:rPr>
            </w:pPr>
            <w:r>
              <w:rPr>
                <w:sz w:val="22"/>
              </w:rPr>
              <w:t>By: ____________________________</w:t>
            </w:r>
          </w:p>
          <w:p>
            <w:pPr>
              <w:pStyle w:val="Normal"/>
              <w:rPr/>
            </w:pPr>
            <w:r>
              <w:rPr>
                <w:sz w:val="22"/>
              </w:rPr>
              <w:t xml:space="preserve">Name:  </w:t>
            </w:r>
            <w:r>
              <w:rPr>
                <w:sz w:val="22"/>
                <w:u w:val="single"/>
              </w:rPr>
              <w:tab/>
              <w:tab/>
              <w:t>________</w:t>
              <w:tab/>
              <w:t>______</w:t>
            </w:r>
          </w:p>
          <w:p>
            <w:pPr>
              <w:pStyle w:val="Normal"/>
              <w:rPr>
                <w:sz w:val="22"/>
              </w:rPr>
            </w:pPr>
            <w:r>
              <w:rPr>
                <w:sz w:val="22"/>
              </w:rPr>
              <w:t xml:space="preserve">Title:  </w:t>
            </w:r>
            <w:r>
              <w:rPr>
                <w:sz w:val="22"/>
                <w:u w:val="single"/>
              </w:rPr>
              <w:tab/>
              <w:tab/>
              <w:tab/>
              <w:tab/>
              <w:tab/>
            </w:r>
          </w:p>
        </w:tc>
      </w:tr>
      <w:tr>
        <w:trPr/>
        <w:tc>
          <w:tcPr>
            <w:tcW w:w="5148" w:type="dxa"/>
            <w:tcBorders/>
          </w:tcPr>
          <w:p>
            <w:pPr>
              <w:pStyle w:val="Normal"/>
              <w:snapToGrid w:val="false"/>
              <w:rPr>
                <w:sz w:val="22"/>
              </w:rPr>
            </w:pPr>
            <w:r>
              <w:rPr>
                <w:sz w:val="22"/>
              </w:rPr>
            </w:r>
          </w:p>
        </w:tc>
        <w:tc>
          <w:tcPr>
            <w:tcW w:w="5292" w:type="dxa"/>
            <w:tcBorders/>
          </w:tcPr>
          <w:p>
            <w:pPr>
              <w:pStyle w:val="Normal"/>
              <w:snapToGrid w:val="false"/>
              <w:rPr>
                <w:sz w:val="22"/>
              </w:rPr>
            </w:pPr>
            <w:r>
              <w:rPr>
                <w:sz w:val="22"/>
              </w:rPr>
            </w:r>
          </w:p>
        </w:tc>
      </w:tr>
    </w:tbl>
    <w:p>
      <w:pPr>
        <w:pStyle w:val="Normal"/>
        <w:rPr>
          <w:sz w:val="22"/>
        </w:rPr>
      </w:pPr>
      <w:r>
        <w:rPr>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Deal No. AR0003.1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2000-03-07T16:32:00Z</dcterms:created>
  <dc:creator>ECT</dc:creator>
  <dc:description/>
  <dc:language>en-CA</dc:language>
  <cp:lastModifiedBy>Sheetal H. Patel</cp:lastModifiedBy>
  <cp:lastPrinted>2000-03-03T18:23:00Z</cp:lastPrinted>
  <dcterms:modified xsi:type="dcterms:W3CDTF">2000-03-07T16:32:00Z</dcterms:modified>
  <cp:revision>2</cp:revision>
  <dc:subject/>
  <dc:title>222216.1</dc:title>
</cp:coreProperties>
</file>