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r>
        <w:trPr/>
        <w:tc>
          <w:tcPr>
            <w:tcW w:w="4698" w:type="dxa"/>
            <w:tcBorders/>
          </w:tcPr>
          <w:p>
            <w:pPr>
              <w:pStyle w:val="Normal"/>
              <w:snapToGrid w:val="false"/>
              <w:rPr>
                <w:sz w:val="22"/>
              </w:rPr>
            </w:pPr>
            <w:r>
              <w:rPr>
                <w:sz w:val="22"/>
              </w:rPr>
            </w:r>
          </w:p>
        </w:tc>
        <w:tc>
          <w:tcPr>
            <w:tcW w:w="4878" w:type="dxa"/>
            <w:tcBorders/>
          </w:tcPr>
          <w:p>
            <w:pPr>
              <w:pStyle w:val="Normal"/>
              <w:tabs>
                <w:tab w:val="clear" w:pos="720"/>
                <w:tab w:val="left" w:pos="2412" w:leader="none"/>
              </w:tabs>
              <w:snapToGrid w:val="false"/>
              <w:ind w:start="1962" w:end="0"/>
              <w:rPr>
                <w:i/>
                <w:i/>
                <w:sz w:val="22"/>
              </w:rPr>
            </w:pPr>
            <w:r>
              <w:rPr>
                <w:i/>
                <w:sz w:val="22"/>
              </w:rPr>
            </w:r>
          </w:p>
        </w:tc>
      </w:tr>
    </w:tbl>
    <w:p>
      <w:pPr>
        <w:pStyle w:val="Normal"/>
        <w:jc w:val="center"/>
        <w:rPr>
          <w:b/>
          <w:sz w:val="22"/>
        </w:rPr>
      </w:pPr>
      <w:r>
        <w:rPr>
          <w:b/>
          <w:sz w:val="22"/>
        </w:rPr>
        <w:t>CONFIRMATION</w:t>
      </w:r>
    </w:p>
    <w:p>
      <w:pPr>
        <w:pStyle w:val="Normal"/>
        <w:jc w:val="center"/>
        <w:rPr>
          <w:b/>
          <w:sz w:val="22"/>
        </w:rPr>
      </w:pPr>
      <w:r>
        <w:rPr>
          <w:b/>
          <w:sz w:val="22"/>
        </w:rPr>
        <w:t>(SWAP)</w:t>
      </w:r>
    </w:p>
    <w:p>
      <w:pPr>
        <w:pStyle w:val="Normal"/>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r>
    </w:p>
    <w:p>
      <w:pPr>
        <w:pStyle w:val="Normal"/>
        <w:rPr>
          <w:sz w:val="22"/>
        </w:rPr>
      </w:pPr>
      <w:r>
        <w:rPr>
          <w:sz w:val="22"/>
        </w:rPr>
        <w:t>To:</w:t>
        <w:tab/>
        <w:tab/>
        <w:t>Duke Energy International, L.L.C.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r>
      <w:r>
        <w:rPr>
          <w:color w:val="FF0000"/>
          <w:sz w:val="22"/>
        </w:rPr>
        <w:t>Enron North America Corp. (“Party A”)</w:t>
      </w:r>
    </w:p>
    <w:p>
      <w:pPr>
        <w:pStyle w:val="Normal"/>
        <w:rPr>
          <w:sz w:val="22"/>
        </w:rPr>
      </w:pPr>
      <w:r>
        <w:rPr>
          <w:sz w:val="22"/>
        </w:rPr>
        <w:t>Re:</w:t>
        <w:tab/>
        <w:tab/>
        <w:t>Commodity Swap – Deal No. XXXXXX</w:t>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the </w:t>
      </w:r>
      <w:r>
        <w:rPr>
          <w:color w:val="FF0000"/>
          <w:sz w:val="22"/>
        </w:rPr>
        <w:t>ISDA Master Agreement</w:t>
      </w:r>
      <w:r>
        <w:rPr>
          <w:sz w:val="22"/>
        </w:rPr>
        <w:t xml:space="preserve">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August 16, 1999,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May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June 2000:</w:t>
            </w:r>
          </w:p>
        </w:tc>
        <w:tc>
          <w:tcPr>
            <w:tcW w:w="6102" w:type="dxa"/>
            <w:tcBorders/>
          </w:tcPr>
          <w:p>
            <w:pPr>
              <w:pStyle w:val="Normal"/>
              <w:rPr>
                <w:sz w:val="22"/>
              </w:rPr>
            </w:pPr>
            <w:r>
              <w:rPr>
                <w:sz w:val="22"/>
              </w:rPr>
              <w:t>30 MWh for each hour during the Calculation Period for a total of 21,600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July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August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Total Notional Quantity:</w:t>
            </w:r>
          </w:p>
        </w:tc>
        <w:tc>
          <w:tcPr>
            <w:tcW w:w="6102" w:type="dxa"/>
            <w:tcBorders/>
          </w:tcPr>
          <w:p>
            <w:pPr>
              <w:pStyle w:val="Normal"/>
              <w:snapToGrid w:val="false"/>
              <w:ind w:firstLine="720" w:end="0"/>
              <w:rPr>
                <w:sz w:val="22"/>
              </w:rPr>
            </w:pPr>
            <w:r>
              <w:rPr>
                <w:sz w:val="22"/>
              </w:rPr>
            </w:r>
          </w:p>
          <w:p>
            <w:pPr>
              <w:pStyle w:val="Normal"/>
              <w:rPr>
                <w:sz w:val="22"/>
              </w:rPr>
            </w:pPr>
            <w:r>
              <w:rPr>
                <w:sz w:val="22"/>
              </w:rPr>
              <w:t>88,560 MWh</w:t>
            </w:r>
          </w:p>
          <w:p>
            <w:pPr>
              <w:pStyle w:val="Normal"/>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Commodity Unit:</w:t>
            </w:r>
          </w:p>
        </w:tc>
        <w:tc>
          <w:tcPr>
            <w:tcW w:w="6102" w:type="dxa"/>
            <w:tcBorders/>
          </w:tcPr>
          <w:p>
            <w:pPr>
              <w:pStyle w:val="Normal"/>
              <w:snapToGrid w:val="false"/>
              <w:rPr>
                <w:sz w:val="22"/>
              </w:rPr>
            </w:pPr>
            <w:r>
              <w:rPr>
                <w:sz w:val="22"/>
              </w:rPr>
            </w:r>
          </w:p>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May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August 31, 2000</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May 1, 2000 and ending August 31, 2000</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20.15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t xml:space="preserve">The average of the daily MONOMIC Prices at the Ezeiza Market Node Center for each day during the Calculation Period. </w:t>
            </w:r>
          </w:p>
          <w:p>
            <w:pPr>
              <w:pStyle w:val="Normal"/>
              <w:jc w:val="both"/>
              <w:rPr>
                <w:sz w:val="22"/>
              </w:rPr>
            </w:pPr>
            <w:r>
              <w:rPr>
                <w:sz w:val="22"/>
              </w:rPr>
            </w:r>
          </w:p>
          <w:p>
            <w:pPr>
              <w:pStyle w:val="Normal"/>
              <w:jc w:val="both"/>
              <w:rPr/>
            </w:pPr>
            <w:r>
              <w:rPr>
                <w:sz w:val="22"/>
              </w:rPr>
              <w:t>“</w:t>
            </w:r>
            <w:r>
              <w:rPr>
                <w:sz w:val="22"/>
              </w:rPr>
              <w:t xml:space="preserve">MONOMIC Price” means the average hourly price, quoted in Argentine Pesos, for each day as published electronically in the </w:t>
            </w:r>
            <w:r>
              <w:rPr>
                <w:color w:val="000000"/>
                <w:sz w:val="22"/>
                <w:lang w:eastAsia="en-US"/>
              </w:rPr>
              <w:t>"Documento de Transacciones Económicas" (DTE)</w:t>
            </w:r>
            <w:r>
              <w:rPr>
                <w:sz w:val="22"/>
              </w:rPr>
              <w:t xml:space="preserve"> under the annex set forth in the “Generadores” file labeled “A1.7  Precios Del Mercado en $/MWH – Mercado” as published by the “Compañia Administradora del Mercado Mayorista Eléctrico Sociedad Anónima” (“CAMMESA”).</w:t>
            </w:r>
          </w:p>
          <w:p>
            <w:pPr>
              <w:pStyle w:val="Normal"/>
              <w:jc w:val="both"/>
              <w:rPr>
                <w:sz w:val="22"/>
              </w:rPr>
            </w:pPr>
            <w:r>
              <w:rPr>
                <w:sz w:val="22"/>
              </w:rPr>
            </w:r>
          </w:p>
          <w:p>
            <w:pPr>
              <w:pStyle w:val="Normal"/>
              <w:jc w:val="both"/>
              <w:rPr>
                <w:sz w:val="22"/>
              </w:rPr>
            </w:pPr>
            <w:r>
              <w:rPr>
                <w:color w:val="000000"/>
                <w:sz w:val="22"/>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North America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Enron North America Corp.</w:t>
            </w:r>
          </w:p>
          <w:p>
            <w:pPr>
              <w:pStyle w:val="Normal"/>
              <w:rPr>
                <w:sz w:val="22"/>
              </w:rPr>
            </w:pPr>
            <w:r>
              <w:rPr>
                <w:sz w:val="22"/>
              </w:rPr>
              <w:tab/>
              <w:tab/>
              <w:tab/>
              <w:tab/>
              <w:tab/>
            </w:r>
          </w:p>
          <w:p>
            <w:pPr>
              <w:pStyle w:val="Normal"/>
              <w:rPr>
                <w:sz w:val="22"/>
                <w:u w:val="single"/>
              </w:rPr>
            </w:pPr>
            <w:r>
              <w:rPr>
                <w:sz w:val="22"/>
              </w:rPr>
              <w:t xml:space="preserve">By: </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 xml:space="preserve">Deal No.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Duke Energy International, L.L.C.</w:t>
            </w:r>
          </w:p>
          <w:p>
            <w:pPr>
              <w:pStyle w:val="Normal"/>
              <w:rPr>
                <w:sz w:val="22"/>
              </w:rPr>
            </w:pPr>
            <w:r>
              <w:rPr>
                <w:sz w:val="22"/>
              </w:rPr>
            </w:r>
          </w:p>
          <w:p>
            <w:pPr>
              <w:pStyle w:val="Normal"/>
              <w:rPr>
                <w:sz w:val="22"/>
              </w:rPr>
            </w:pPr>
            <w:r>
              <w:rPr>
                <w:sz w:val="22"/>
              </w:rPr>
              <w:t xml:space="preserve">By: </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2"/>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Foo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DRAFT – FOR DISCUSSION PURPOSES ONLY                              Deal No. XXXXXX</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2000-03-03T19:15:00Z</dcterms:created>
  <dc:creator>ECT</dc:creator>
  <dc:description/>
  <dc:language>en-CA</dc:language>
  <cp:lastModifiedBy>Sheetal H. Patel</cp:lastModifiedBy>
  <cp:lastPrinted>2000-03-03T15:20:00Z</cp:lastPrinted>
  <dcterms:modified xsi:type="dcterms:W3CDTF">2000-03-03T19:15:00Z</dcterms:modified>
  <cp:revision>2</cp:revision>
  <dc:subject/>
  <dc:title>222216.1</dc:title>
</cp:coreProperties>
</file>