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hdr"/>
        <w:spacing w:before="0" w:after="240"/>
        <w:jc w:val="both"/>
        <w:rPr>
          <w:rFonts w:ascii="Book Antiqua" w:hAnsi="Book Antiqua" w:eastAsia="Book Antiqua" w:cs="Book Antiqua"/>
          <w:sz w:val="24"/>
          <w:szCs w:val="24"/>
        </w:rPr>
      </w:pPr>
      <w:r>
        <w:rPr>
          <w:rFonts w:eastAsia="Book Antiqua" w:cs="Book Antiqua" w:ascii="Book Antiqua" w:hAnsi="Book Antiqua"/>
          <w:sz w:val="24"/>
          <w:szCs w:val="24"/>
        </w:rPr>
        <w:t>PERSONAL DATA</w:t>
      </w:r>
    </w:p>
    <w:p>
      <w:pPr>
        <w:pStyle w:val="Normal"/>
        <w:jc w:val="both"/>
        <w:rPr>
          <w:rFonts w:ascii="Book Antiqua" w:hAnsi="Book Antiqua" w:eastAsia="Book Antiqua" w:cs="Book Antiqua"/>
          <w:sz w:val="24"/>
          <w:szCs w:val="24"/>
          <w:u w:val="single"/>
        </w:rPr>
      </w:pPr>
      <w:r>
        <w:rPr>
          <w:rFonts w:eastAsia="Book Antiqua" w:cs="Book Antiqua" w:ascii="Book Antiqua" w:hAnsi="Book Antiqua"/>
          <w:sz w:val="24"/>
          <w:szCs w:val="24"/>
          <w:u w:val="single"/>
        </w:rPr>
      </w:r>
    </w:p>
    <w:p>
      <w:pPr>
        <w:pStyle w:val="Normal"/>
        <w:tabs>
          <w:tab w:val="clear" w:pos="720"/>
          <w:tab w:val="left" w:pos="4320" w:leader="none"/>
        </w:tabs>
        <w:ind w:start="720" w:end="0"/>
        <w:jc w:val="both"/>
        <w:rPr/>
      </w:pPr>
      <w:r>
        <w:rPr>
          <w:rFonts w:eastAsia="Book Antiqua" w:cs="Book Antiqua" w:ascii="Book Antiqua" w:hAnsi="Book Antiqua"/>
          <w:sz w:val="24"/>
          <w:szCs w:val="24"/>
        </w:rPr>
        <w:t>NAME:</w:t>
        <w:tab/>
      </w:r>
      <w:r>
        <w:rPr>
          <w:rFonts w:eastAsia="Book Antiqua" w:cs="Book Antiqua" w:ascii="Book Antiqua" w:hAnsi="Book Antiqua"/>
          <w:b/>
          <w:bCs/>
          <w:sz w:val="24"/>
          <w:szCs w:val="24"/>
        </w:rPr>
        <w:t>CHRIS DUHON</w:t>
      </w:r>
    </w:p>
    <w:p>
      <w:pPr>
        <w:pStyle w:val="Normal"/>
        <w:tabs>
          <w:tab w:val="clear" w:pos="720"/>
          <w:tab w:val="left" w:pos="4320" w:leader="none"/>
        </w:tabs>
        <w:ind w:start="720" w:end="0"/>
        <w:jc w:val="both"/>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tabs>
          <w:tab w:val="clear" w:pos="720"/>
          <w:tab w:val="left" w:pos="4320" w:leader="none"/>
        </w:tabs>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RESIDENCE:</w:t>
        <w:tab/>
        <w:t>3755 Tangley Street</w:t>
      </w:r>
    </w:p>
    <w:p>
      <w:pPr>
        <w:pStyle w:val="Normal"/>
        <w:tabs>
          <w:tab w:val="clear" w:pos="720"/>
          <w:tab w:val="left" w:pos="4320" w:leader="none"/>
        </w:tabs>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t>Houston, Texas  77005</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TELEPHONE:</w:t>
        <w:tab/>
        <w:tab/>
        <w:tab/>
        <w:t>H: (713) 661-3252</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tab/>
        <w:tab/>
        <w:tab/>
        <w:tab/>
        <w:t>O: (773) 399-8136</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tab/>
        <w:tab/>
        <w:tab/>
        <w:tab/>
        <w:t>Email: cduhon@gri.org</w:t>
      </w:r>
    </w:p>
    <w:p>
      <w:pPr>
        <w:pStyle w:val="Mainhdr"/>
        <w:spacing w:before="0" w:after="6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Mainhdr"/>
        <w:spacing w:before="0" w:after="240"/>
        <w:jc w:val="both"/>
        <w:rPr>
          <w:rFonts w:ascii="Book Antiqua" w:hAnsi="Book Antiqua" w:eastAsia="Book Antiqua" w:cs="Book Antiqua"/>
          <w:b w:val="false"/>
          <w:bCs w:val="false"/>
          <w:sz w:val="24"/>
          <w:szCs w:val="24"/>
          <w:u w:val="none"/>
        </w:rPr>
      </w:pPr>
      <w:r>
        <w:rPr>
          <w:rFonts w:eastAsia="Book Antiqua" w:cs="Book Antiqua" w:ascii="Book Antiqua" w:hAnsi="Book Antiqua"/>
          <w:sz w:val="24"/>
          <w:szCs w:val="24"/>
        </w:rPr>
        <w:t>EDUCATION</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University of Houston, Downtown or University Park; Houston, Texas</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ab/>
        <w:t>Master of Business Administration, Finance - 1988</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Louisiana State University; Baton Rouge, Louisiana</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ab/>
        <w:t>Bachelor of Science, Petroleum Engineering - 1981</w:t>
      </w:r>
    </w:p>
    <w:p>
      <w:pPr>
        <w:pStyle w:val="Mainhdr"/>
        <w:tabs>
          <w:tab w:val="left" w:pos="720" w:leader="none"/>
          <w:tab w:val="left" w:pos="1440" w:leader="none"/>
          <w:tab w:val="left" w:pos="2160" w:leader="none"/>
          <w:tab w:val="left" w:pos="2880" w:leader="none"/>
          <w:tab w:val="left" w:pos="3600" w:leader="none"/>
        </w:tabs>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r>
    </w:p>
    <w:p>
      <w:pPr>
        <w:pStyle w:val="Mainhdr"/>
        <w:tabs>
          <w:tab w:val="left" w:pos="720" w:leader="none"/>
          <w:tab w:val="left" w:pos="1440" w:leader="none"/>
          <w:tab w:val="left" w:pos="2160" w:leader="none"/>
          <w:tab w:val="left" w:pos="2880" w:leader="none"/>
          <w:tab w:val="left" w:pos="3600" w:leader="none"/>
        </w:tabs>
        <w:spacing w:before="0" w:after="240"/>
        <w:jc w:val="both"/>
        <w:rPr>
          <w:rFonts w:ascii="Book Antiqua" w:hAnsi="Book Antiqua" w:eastAsia="Book Antiqua" w:cs="Book Antiqua"/>
          <w:sz w:val="24"/>
          <w:szCs w:val="24"/>
        </w:rPr>
      </w:pPr>
      <w:r>
        <w:rPr>
          <w:rFonts w:eastAsia="Book Antiqua" w:cs="Book Antiqua" w:ascii="Book Antiqua" w:hAnsi="Book Antiqua"/>
          <w:sz w:val="24"/>
          <w:szCs w:val="24"/>
        </w:rPr>
        <w:t>BUSINESS HISTORY</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GAS RESEARCH INSTITUTE</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Chicago, Illinois</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December 1999 - Present</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pPr>
      <w:r>
        <w:rPr>
          <w:rFonts w:eastAsia="Book Antiqua" w:cs="Book Antiqua" w:ascii="Book Antiqua" w:hAnsi="Book Antiqua"/>
          <w:spacing w:val="-2"/>
          <w:sz w:val="24"/>
          <w:szCs w:val="24"/>
        </w:rPr>
        <w:tab/>
      </w:r>
      <w:r>
        <w:rPr>
          <w:rFonts w:eastAsia="Book Antiqua" w:cs="Book Antiqua" w:ascii="Book Antiqua" w:hAnsi="Book Antiqua"/>
          <w:spacing w:val="-2"/>
          <w:sz w:val="24"/>
          <w:szCs w:val="24"/>
          <w:u w:val="single"/>
        </w:rPr>
        <w:t>Vice President/General Manager, Pipeline Business Unit</w:t>
      </w:r>
    </w:p>
    <w:p>
      <w:pPr>
        <w:pStyle w:val="Normal"/>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t xml:space="preserve">Reporting to the acting President, Mr. Duhon was </w:t>
      </w:r>
      <w:r>
        <w:rPr>
          <w:rFonts w:eastAsia="Book Antiqua" w:cs="Book Antiqua" w:ascii="Book Antiqua" w:hAnsi="Book Antiqua"/>
          <w:spacing w:val="-2"/>
          <w:sz w:val="24"/>
          <w:szCs w:val="24"/>
        </w:rPr>
        <w:t>responsible for all aspects of current research and development programs and also for the development, management and operation of new lines of business.</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ADDITECH, INC.</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Tulsa, Oklahoma</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1995 to 1999</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Additech is a privately held, advanced technology startup in the gasoline retail industry.  Company developed, field-tested and markets a computer-based fuel additive dispensing system that enables customers to blend fuel additives into gas while refueling.  Product is being test-marketed in 50 gas stations with projected 2000 revenue being approximated at $1.3 million.</w:t>
      </w:r>
      <w:r>
        <w:br w:type="page"/>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t>PRESIDENT</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t>Responsible for developing, testing, obtaining regulatory approvals and launching first-of-its kind technology. Accomplishments included:</w:t>
      </w:r>
    </w:p>
    <w:p>
      <w:pPr>
        <w:pStyle w:val="Normal"/>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2"/>
        </w:numPr>
        <w:tabs>
          <w:tab w:val="clear" w:pos="720"/>
          <w:tab w:val="left" w:pos="0" w:leader="none"/>
        </w:tabs>
        <w:spacing w:before="0" w:after="120"/>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Raised $8 million private-equity and VC capital, as well as implemented comprehensive strategy.</w:t>
      </w:r>
    </w:p>
    <w:p>
      <w:pPr>
        <w:pStyle w:val="Normal"/>
        <w:numPr>
          <w:ilvl w:val="0"/>
          <w:numId w:val="2"/>
        </w:numPr>
        <w:tabs>
          <w:tab w:val="clear" w:pos="720"/>
          <w:tab w:val="left" w:pos="0" w:leader="none"/>
        </w:tabs>
        <w:spacing w:before="0" w:after="120"/>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Validated business model, marketing strategy and growth potential through field tests.</w:t>
      </w:r>
    </w:p>
    <w:p>
      <w:pPr>
        <w:pStyle w:val="Normal"/>
        <w:numPr>
          <w:ilvl w:val="0"/>
          <w:numId w:val="2"/>
        </w:numPr>
        <w:tabs>
          <w:tab w:val="clear" w:pos="720"/>
          <w:tab w:val="left" w:pos="0" w:leader="none"/>
        </w:tabs>
        <w:spacing w:before="0" w:after="120"/>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Built board and management team. Developed investor exit strategy.</w:t>
      </w:r>
    </w:p>
    <w:p>
      <w:pPr>
        <w:pStyle w:val="Normal"/>
        <w:numPr>
          <w:ilvl w:val="0"/>
          <w:numId w:val="2"/>
        </w:numPr>
        <w:tabs>
          <w:tab w:val="clear" w:pos="720"/>
          <w:tab w:val="left" w:pos="0" w:leader="none"/>
        </w:tabs>
        <w:spacing w:before="0" w:after="120"/>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Created $20 million shareholder value. Positioned company for 10:1 investor return.</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TENNECO INC.</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Greenwich, Connecticut</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1981 to 1995</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ind w:start="720" w:end="0"/>
        <w:rPr>
          <w:rFonts w:ascii="Book Antiqua" w:hAnsi="Book Antiqua" w:eastAsia="Book Antiqua" w:cs="Book Antiqua"/>
          <w:sz w:val="24"/>
          <w:szCs w:val="24"/>
        </w:rPr>
      </w:pPr>
      <w:r>
        <w:rPr>
          <w:rFonts w:eastAsia="Book Antiqua" w:cs="Book Antiqua" w:ascii="Book Antiqua" w:hAnsi="Book Antiqua"/>
          <w:sz w:val="24"/>
          <w:szCs w:val="24"/>
        </w:rPr>
        <w:t xml:space="preserve">Tenneco Inc. is a manufacturing company with operations in the automotive parts, specialty packaging and folding carton and containerboard packaging industries. Tenneco Automotive products include mufflers, catalytic converters, tubular exhaust manifolds and electronic noise cancellation products. The Company also produces hydraulic and gas charged shock absorbers, struts, electronically adjustable suspension systems, vibration control components, springs and modular assemblies. </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t>president, tenneco gas international - Tenneco gas</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spacing w:val="-2"/>
          <w:sz w:val="24"/>
          <w:szCs w:val="24"/>
        </w:rPr>
        <w:t>1993 to 1995</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Reporting to the Chairman and Chief Executive Officer, Mr. Duhon developed new international business segment for a $3.5 billion natural gas pipeline company, Tenneco Gas. Responsible for managing development activities in four world regions, including Latin America, Europe, Australia and Southeast Asia.  Accomplishments included:</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b/>
          <w:bCs/>
          <w:spacing w:val="-2"/>
          <w:sz w:val="24"/>
          <w:szCs w:val="24"/>
        </w:rPr>
      </w:r>
    </w:p>
    <w:p>
      <w:pPr>
        <w:pStyle w:val="Normal"/>
        <w:numPr>
          <w:ilvl w:val="0"/>
          <w:numId w:val="3"/>
        </w:numPr>
        <w:tabs>
          <w:tab w:val="clear" w:pos="720"/>
          <w:tab w:val="left" w:pos="0" w:leader="none"/>
          <w:tab w:val="left" w:pos="36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z w:val="24"/>
          <w:szCs w:val="24"/>
        </w:rPr>
        <w:t>Secured four major projects within twelve months, including US, Central America and South America.</w:t>
      </w:r>
    </w:p>
    <w:p>
      <w:pPr>
        <w:pStyle w:val="Normal"/>
        <w:numPr>
          <w:ilvl w:val="0"/>
          <w:numId w:val="3"/>
        </w:numPr>
        <w:tabs>
          <w:tab w:val="clear" w:pos="720"/>
          <w:tab w:val="left" w:pos="0" w:leader="none"/>
          <w:tab w:val="left" w:pos="36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z w:val="24"/>
          <w:szCs w:val="24"/>
        </w:rPr>
        <w:t>Secured equity positions in $3.3 billion of projects.</w:t>
      </w:r>
    </w:p>
    <w:p>
      <w:pPr>
        <w:pStyle w:val="Normal"/>
        <w:numPr>
          <w:ilvl w:val="0"/>
          <w:numId w:val="3"/>
        </w:numPr>
        <w:tabs>
          <w:tab w:val="clear" w:pos="720"/>
          <w:tab w:val="left" w:pos="0" w:leader="none"/>
          <w:tab w:val="left" w:pos="36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z w:val="24"/>
          <w:szCs w:val="24"/>
        </w:rPr>
        <w:t>Developed broad portfolio of follow-on opportunities.</w:t>
      </w:r>
    </w:p>
    <w:p>
      <w:pPr>
        <w:pStyle w:val="Normal"/>
        <w:numPr>
          <w:ilvl w:val="0"/>
          <w:numId w:val="3"/>
        </w:numPr>
        <w:tabs>
          <w:tab w:val="clear" w:pos="720"/>
          <w:tab w:val="left" w:pos="0" w:leader="none"/>
          <w:tab w:val="left" w:pos="360" w:leader="none"/>
          <w:tab w:val="left" w:pos="1080" w:leader="none"/>
          <w:tab w:val="left" w:pos="1800" w:leader="none"/>
          <w:tab w:val="left" w:pos="2520" w:leader="none"/>
        </w:tabs>
        <w:suppressAutoHyphens w:val="true"/>
        <w:spacing w:lineRule="auto" w:line="233" w:before="0" w:after="120"/>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z w:val="24"/>
          <w:szCs w:val="24"/>
        </w:rPr>
        <w:t>Established growth platform valued in excess of $100 million.</w:t>
      </w:r>
    </w:p>
    <w:p>
      <w:pPr>
        <w:pStyle w:val="Normal"/>
        <w:tabs>
          <w:tab w:val="left" w:pos="720" w:leader="none"/>
          <w:tab w:val="left" w:pos="1440" w:leader="none"/>
          <w:tab w:val="left" w:pos="2160" w:leader="none"/>
          <w:tab w:val="left" w:pos="2880" w:leader="none"/>
        </w:tabs>
        <w:suppressAutoHyphens w:val="true"/>
        <w:spacing w:lineRule="auto" w:line="233"/>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t>vice president, strategy - Tenneco, inc.</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spacing w:val="-2"/>
          <w:sz w:val="24"/>
          <w:szCs w:val="24"/>
        </w:rPr>
        <w:t>1993 to 1995</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b/>
          <w:bCs/>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spacing w:val="-2"/>
          <w:sz w:val="24"/>
          <w:szCs w:val="24"/>
        </w:rPr>
        <w:t>Reporting to the Chairman and Chief Executive Officer, Mr. Duhon developed business strategy used by the Tenneco Gas for new growth platform developments. Responsible for developing comprehensive strategy for organizational, cultural and asset transformation. Accomplishments included:</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b/>
          <w:bCs/>
          <w:spacing w:val="-2"/>
          <w:sz w:val="24"/>
          <w:szCs w:val="24"/>
        </w:rPr>
      </w:r>
    </w:p>
    <w:p>
      <w:pPr>
        <w:pStyle w:val="Normal"/>
        <w:numPr>
          <w:ilvl w:val="0"/>
          <w:numId w:val="4"/>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Identified $300 million of asset and capital opportunities which were subsequently implemented.</w:t>
      </w:r>
    </w:p>
    <w:p>
      <w:pPr>
        <w:pStyle w:val="Normal"/>
        <w:numPr>
          <w:ilvl w:val="0"/>
          <w:numId w:val="4"/>
        </w:numPr>
        <w:tabs>
          <w:tab w:val="clear" w:pos="720"/>
          <w:tab w:val="left" w:pos="0" w:leader="none"/>
          <w:tab w:val="left" w:pos="1080" w:leader="none"/>
          <w:tab w:val="left" w:pos="1800" w:leader="none"/>
          <w:tab w:val="left" w:pos="2520" w:leader="none"/>
        </w:tabs>
        <w:suppressAutoHyphens w:val="true"/>
        <w:spacing w:lineRule="auto" w:line="233" w:before="0" w:after="120"/>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Developed growth strategy used to create $1 billion incremental value.</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ASSISTANT TO CHAIRMAN - TENNECO, INC.</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1990 to 1993</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Reported to the Chairman and Chief Executive Officer, Mr. Duhon participated as a key member of TennecoÆs executive leadership team. He took a led in strategic, organizational, financial and public planning for the company. Responsible for development and on-going management of corporate portfolio management actions. During Mr. DuhonÆs role as Assistant to Chairman, a $3 billion shareholder value was created for Tenneco, Inc. shareholders.  Accomplishments included:</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5"/>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Assisted in development of $3 billion asset sales and cost, as well as capital reductions.</w:t>
      </w:r>
    </w:p>
    <w:p>
      <w:pPr>
        <w:pStyle w:val="Normal"/>
        <w:numPr>
          <w:ilvl w:val="0"/>
          <w:numId w:val="5"/>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Assisted in planning and execution of $1.1 billion Tenneco, Inc. common equity offering.</w:t>
      </w:r>
    </w:p>
    <w:p>
      <w:pPr>
        <w:pStyle w:val="Normal"/>
        <w:numPr>
          <w:ilvl w:val="0"/>
          <w:numId w:val="5"/>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Co-led development of $920 million worldwide restructuring/ rationalization plan for JI Case.</w:t>
      </w:r>
    </w:p>
    <w:p>
      <w:pPr>
        <w:pStyle w:val="Normal"/>
        <w:numPr>
          <w:ilvl w:val="0"/>
          <w:numId w:val="5"/>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Co-led executive team that directed operational and commercial activities of JI Case.</w:t>
      </w:r>
    </w:p>
    <w:p>
      <w:pPr>
        <w:pStyle w:val="Normal"/>
        <w:numPr>
          <w:ilvl w:val="0"/>
          <w:numId w:val="5"/>
        </w:numPr>
        <w:tabs>
          <w:tab w:val="clear" w:pos="720"/>
          <w:tab w:val="left" w:pos="0" w:leader="none"/>
          <w:tab w:val="left" w:pos="1080" w:leader="none"/>
          <w:tab w:val="left" w:pos="1800" w:leader="none"/>
          <w:tab w:val="left" w:pos="2520" w:leader="none"/>
        </w:tabs>
        <w:suppressAutoHyphens w:val="true"/>
        <w:spacing w:lineRule="auto" w:line="233"/>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Led multiple joint venture and acquisition initiatives.</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MANAGER, MARKET STRATEGY - TENNECO GAS</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1987 to 1990</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Reporting to the Vice President, Marketing, Mr. Duhon managed non-regulated natural gas ôspotö transportation activity. Accomplishments included:</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6"/>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Generated $30 million per revenue through incentive pricing strategies.</w:t>
      </w:r>
    </w:p>
    <w:p>
      <w:pPr>
        <w:pStyle w:val="Normal"/>
        <w:numPr>
          <w:ilvl w:val="0"/>
          <w:numId w:val="6"/>
        </w:numPr>
        <w:tabs>
          <w:tab w:val="clear" w:pos="720"/>
          <w:tab w:val="left" w:pos="0" w:leader="none"/>
          <w:tab w:val="left" w:pos="1080" w:leader="none"/>
          <w:tab w:val="left" w:pos="1800" w:leader="none"/>
          <w:tab w:val="left" w:pos="2520" w:leader="none"/>
        </w:tabs>
        <w:suppressAutoHyphens w:val="true"/>
        <w:spacing w:lineRule="auto" w:line="233" w:before="0" w:after="120"/>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Developed and managed monthly business operating plan.</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SENIOR SUPPLY DEVELOPMENT COORDINATOR - TENNECO GAS</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1987 to 1990</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Reporting to the Vice President, Marketing, Mr. Duhon analyzed GOM offshore natural gas reserves basins and projects. Accomplishments included:</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7"/>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Developed comprehensive gas supply attachment strategy.</w:t>
      </w:r>
    </w:p>
    <w:p>
      <w:pPr>
        <w:pStyle w:val="Normal"/>
        <w:numPr>
          <w:ilvl w:val="0"/>
          <w:numId w:val="7"/>
        </w:numPr>
        <w:tabs>
          <w:tab w:val="clear" w:pos="720"/>
          <w:tab w:val="left" w:pos="0" w:leader="none"/>
          <w:tab w:val="left" w:pos="1080" w:leader="none"/>
          <w:tab w:val="left" w:pos="1800" w:leader="none"/>
          <w:tab w:val="left" w:pos="2520" w:leader="none"/>
        </w:tabs>
        <w:suppressAutoHyphens w:val="true"/>
        <w:spacing w:lineRule="auto" w:line="233" w:before="0" w:after="120"/>
        <w:ind w:hanging="36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Developed actions to ensure 5.0 Bcf/d deliverability availability through new projects.</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SENIOR PLANNING ENGINEER - TENNECO GAS</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1987 to 1990</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Reporting to the Vice President, Strategy, Mr. Duhon led analysis and strategic development projects for senior management. Responsible for developing worldwide oil and gas supply, and demand forecasts used for exploration/product development decisions.</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SENIOR PETROLEUM ENGINEER - TENNECO OIL E&amp;P</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1981 to 1987</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Reporting to the Director, Engineering, Mr. Duhon led Gulf Coast US onshore/offshore gas exploration and production. Responsible for leading cross-functional project teams in E&amp;P prospect selection, completion and analysis. He analyzed financial and reserves aspects of exploration and production projects. Accomplishments included:</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numPr>
          <w:ilvl w:val="0"/>
          <w:numId w:val="8"/>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Co-led discovery of one field.</w:t>
      </w:r>
    </w:p>
    <w:p>
      <w:pPr>
        <w:pStyle w:val="Normal"/>
        <w:numPr>
          <w:ilvl w:val="0"/>
          <w:numId w:val="8"/>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Co-led development of multiple fields constituting $10 million drilling and completionÆs activity.</w:t>
      </w:r>
    </w:p>
    <w:p>
      <w:pPr>
        <w:pStyle w:val="Normal"/>
        <w:numPr>
          <w:ilvl w:val="0"/>
          <w:numId w:val="8"/>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Developed and supervised $2.5 million post-completion fracturing stimulation.</w:t>
      </w:r>
    </w:p>
    <w:p>
      <w:pPr>
        <w:pStyle w:val="Normal"/>
        <w:numPr>
          <w:ilvl w:val="0"/>
          <w:numId w:val="8"/>
        </w:numPr>
        <w:tabs>
          <w:tab w:val="clear" w:pos="720"/>
          <w:tab w:val="left" w:pos="0" w:leader="none"/>
          <w:tab w:val="left" w:pos="1080" w:leader="none"/>
          <w:tab w:val="left" w:pos="1800" w:leader="none"/>
          <w:tab w:val="left" w:pos="2520" w:leader="none"/>
        </w:tabs>
        <w:suppressAutoHyphens w:val="true"/>
        <w:spacing w:lineRule="auto" w:line="233" w:before="0" w:after="120"/>
        <w:ind w:hanging="720" w:start="216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Developed and managed division budget.</w:t>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t>COMPENSATION</w:t>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Mr. Duhon reports that in 1998, he received a base salary of $150,000, a bonus of 45 percent.</w:t>
      </w:r>
    </w:p>
    <w:p>
      <w:pPr>
        <w:pStyle w:val="Mainhdr"/>
        <w:spacing w:before="0" w:after="60"/>
        <w:rPr>
          <w:rFonts w:ascii="Book Antiqua" w:hAnsi="Book Antiqua" w:eastAsia="Book Antiqua" w:cs="Book Antiqua"/>
          <w:sz w:val="24"/>
          <w:szCs w:val="24"/>
        </w:rPr>
      </w:pPr>
      <w:r>
        <w:rPr>
          <w:rFonts w:eastAsia="Book Antiqua" w:cs="Book Antiqua" w:ascii="Book Antiqua" w:hAnsi="Book Antiqua"/>
          <w:sz w:val="24"/>
          <w:szCs w:val="24"/>
        </w:rPr>
      </w:r>
    </w:p>
    <w:sectPr>
      <w:headerReference w:type="default" r:id="rId2"/>
      <w:headerReference w:type="first" r:id="rId3"/>
      <w:footerReference w:type="default" r:id="rId4"/>
      <w:footerReference w:type="first" r:id="rId5"/>
      <w:type w:val="nextPage"/>
      <w:pgSz w:w="12240" w:h="15840"/>
      <w:pgMar w:left="1440" w:right="1440" w:gutter="0" w:header="720" w:top="2304"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w:charset w:val="00" w:characterSet="ibm850"/>
    <w:family w:val="roman"/>
    <w:pitch w:val="variable"/>
  </w:font>
  <w:font w:name="Arial">
    <w:charset w:val="01"/>
    <w:family w:val="swiss"/>
    <w:pitch w:val="variable"/>
  </w:font>
  <w:font w:name="Times New Roman">
    <w:charset w:val="01"/>
    <w:family w:val="roman"/>
    <w:pitch w:val="variable"/>
  </w:font>
  <w:font w:name="Liberation Sans">
    <w:altName w:val="Arial"/>
    <w:charset w:val="01" w:characterSet="utf-8"/>
    <w:family w:val="swiss"/>
    <w:pitch w:val="variable"/>
  </w:font>
  <w:font w:name="Book Antiqua">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Book Antiqua" w:hAnsi="Book Antiqua" w:eastAsia="Book Antiqua" w:cs="Book Antiqua"/>
        <w:b/>
        <w:bCs/>
        <w:sz w:val="20"/>
        <w:szCs w:val="20"/>
      </w:rPr>
    </w:pPr>
    <w:r>
      <w:rPr>
        <w:rFonts w:eastAsia="Book Antiqua" w:cs="Book Antiqua" w:ascii="Book Antiqua" w:hAnsi="Book Antiqua"/>
        <w:b/>
        <w:bCs/>
        <w:sz w:val="20"/>
        <w:szCs w:val="20"/>
      </w:rPr>
    </w:r>
  </w:p>
  <w:p>
    <w:pPr>
      <w:pStyle w:val="Header"/>
      <w:jc w:val="end"/>
      <w:rPr>
        <w:rFonts w:ascii="Book Antiqua" w:hAnsi="Book Antiqua" w:eastAsia="Book Antiqua" w:cs="Book Antiqua"/>
        <w:b/>
        <w:bCs/>
        <w:sz w:val="20"/>
        <w:szCs w:val="20"/>
      </w:rPr>
    </w:pPr>
    <w:r>
      <w:rPr>
        <w:rFonts w:eastAsia="Book Antiqua" w:cs="Book Antiqua" w:ascii="Book Antiqua" w:hAnsi="Book Antiqua"/>
        <w:b/>
        <w:bCs/>
        <w:sz w:val="20"/>
        <w:szCs w:val="20"/>
      </w:rPr>
    </w:r>
  </w:p>
  <w:p>
    <w:pPr>
      <w:pStyle w:val="Header"/>
      <w:jc w:val="end"/>
      <w:rPr>
        <w:rFonts w:ascii="Book Antiqua" w:hAnsi="Book Antiqua" w:eastAsia="Book Antiqua" w:cs="Book Antiqua"/>
        <w:b/>
        <w:bCs/>
        <w:sz w:val="20"/>
        <w:szCs w:val="20"/>
      </w:rPr>
    </w:pPr>
    <w:r>
      <w:rPr>
        <w:rFonts w:eastAsia="Book Antiqua" w:cs="Book Antiqua" w:ascii="Book Antiqua" w:hAnsi="Book Antiqua"/>
        <w:b/>
        <w:bCs/>
        <w:sz w:val="20"/>
        <w:szCs w:val="20"/>
      </w:rPr>
      <w:t>Chris Duhon</w:t>
    </w:r>
  </w:p>
  <w:p>
    <w:pPr>
      <w:pStyle w:val="Header"/>
      <w:jc w:val="end"/>
      <w:rPr>
        <w:rStyle w:val="PageNumber"/>
        <w:rFonts w:ascii="Book Antiqua" w:hAnsi="Book Antiqua" w:eastAsia="Book Antiqua" w:cs="Book Antiqua"/>
        <w:b/>
        <w:bCs/>
        <w:sz w:val="20"/>
        <w:szCs w:val="20"/>
      </w:rPr>
    </w:pPr>
    <w:r>
      <w:rPr>
        <w:rFonts w:eastAsia="Book Antiqua" w:cs="Book Antiqua" w:ascii="Book Antiqua" w:hAnsi="Book Antiqua"/>
        <w:b/>
        <w:bCs/>
        <w:sz w:val="20"/>
        <w:szCs w:val="20"/>
      </w:rPr>
      <w:t xml:space="preserve">Page </w:t>
    </w:r>
    <w:r>
      <w:rPr>
        <w:rStyle w:val="PageNumber"/>
        <w:rFonts w:eastAsia="Book Antiqua" w:cs="Book Antiqua" w:ascii="Book Antiqua" w:hAnsi="Book Antiqua"/>
        <w:b/>
        <w:bCs/>
        <w:sz w:val="20"/>
        <w:szCs w:val="20"/>
      </w:rPr>
      <w:fldChar w:fldCharType="begin"/>
    </w:r>
    <w:r>
      <w:rPr>
        <w:rStyle w:val="PageNumber"/>
        <w:sz w:val="20"/>
        <w:b/>
        <w:szCs w:val="20"/>
        <w:bCs/>
        <w:rFonts w:eastAsia="Book Antiqua" w:cs="Book Antiqua" w:ascii="Book Antiqua" w:hAnsi="Book Antiqua"/>
      </w:rPr>
      <w:instrText xml:space="preserve"> PAGE </w:instrText>
    </w:r>
    <w:r>
      <w:rPr>
        <w:rStyle w:val="PageNumber"/>
        <w:sz w:val="20"/>
        <w:b/>
        <w:szCs w:val="20"/>
        <w:bCs/>
        <w:rFonts w:eastAsia="Book Antiqua" w:cs="Book Antiqua" w:ascii="Book Antiqua" w:hAnsi="Book Antiqua"/>
      </w:rPr>
      <w:fldChar w:fldCharType="separate"/>
    </w:r>
    <w:r>
      <w:rPr>
        <w:rStyle w:val="PageNumber"/>
        <w:sz w:val="20"/>
        <w:b/>
        <w:szCs w:val="20"/>
        <w:bCs/>
        <w:rFonts w:eastAsia="Book Antiqua" w:cs="Book Antiqua" w:ascii="Book Antiqua" w:hAnsi="Book Antiqua"/>
      </w:rPr>
      <w:t>6</w:t>
    </w:r>
    <w:r>
      <w:rPr>
        <w:rStyle w:val="PageNumber"/>
        <w:sz w:val="20"/>
        <w:b/>
        <w:szCs w:val="20"/>
        <w:bCs/>
        <w:rFonts w:eastAsia="Book Antiqua" w:cs="Book Antiqua" w:ascii="Book Antiqua" w:hAnsi="Book Antiqua"/>
      </w:rPr>
      <w:fldChar w:fldCharType="end"/>
    </w:r>
    <w:r>
      <w:rPr>
        <w:rStyle w:val="PageNumber"/>
        <w:rFonts w:eastAsia="Book Antiqua" w:cs="Book Antiqua" w:ascii="Book Antiqua" w:hAnsi="Book Antiqua"/>
        <w:b/>
        <w:bCs/>
        <w:sz w:val="20"/>
        <w:szCs w:val="20"/>
      </w:rPr>
      <w:t xml:space="preserve"> of </w:t>
    </w:r>
    <w:r>
      <w:fldChar w:fldCharType="begin"/>
    </w:r>
    <w:r>
      <w:rPr>
        <w:rStyle w:val="PageNumber"/>
        <w:sz w:val="20"/>
        <w:b/>
        <w:szCs w:val="20"/>
        <w:bCs/>
        <w:rFonts w:eastAsia="Book Antiqua" w:cs="Book Antiqua" w:ascii="Book Antiqua" w:hAnsi="Book Antiqua"/>
        <w:lang w:val="en-CA"/>
      </w:rPr>
      <w:instrText xml:space="preserve"> SECTIONPAGES </w:instrText>
    </w:r>
    <w:r>
      <w:rPr>
        <w:rStyle w:val="PageNumber"/>
        <w:rFonts w:eastAsia="Book Antiqua" w:cs="Book Antiqua" w:ascii="Book Antiqua" w:hAnsi="Book Antiqua"/>
        <w:b/>
        <w:bCs/>
        <w:sz w:val="20"/>
        <w:szCs w:val="20"/>
        <w:lang w:val="en-CA"/>
      </w:rPr>
    </w:r>
    <w:r>
      <w:rPr>
        <w:rStyle w:val="PageNumber"/>
        <w:sz w:val="20"/>
        <w:b/>
        <w:szCs w:val="20"/>
        <w:bCs/>
        <w:rFonts w:eastAsia="Book Antiqua" w:cs="Book Antiqua" w:ascii="Book Antiqua" w:hAnsi="Book Antiqua"/>
        <w:lang w:val="en-CA"/>
      </w:rPr>
      <w:fldChar w:fldCharType="separate"/>
    </w:r>
    <w:r>
      <w:rPr>
        <w:rStyle w:val="PageNumber"/>
        <w:rFonts w:eastAsia="Book Antiqua" w:cs="Book Antiqua" w:ascii="Book Antiqua" w:hAnsi="Book Antiqua"/>
        <w:b/>
        <w:bCs/>
        <w:sz w:val="20"/>
        <w:szCs w:val="20"/>
        <w:lang w:val="en-CA"/>
      </w:rPr>
      <w:t>5</w:t>
    </w:r>
    <w:r/>
    <w:r>
      <w:rPr>
        <w:rStyle w:val="PageNumber"/>
        <w:sz w:val="20"/>
        <w:b/>
        <w:szCs w:val="20"/>
        <w:bCs/>
        <w:rFonts w:eastAsia="Book Antiqua" w:cs="Book Antiqua" w:ascii="Book Antiqua" w:hAnsi="Book Antiqua"/>
        <w:lang w:val="en-CA"/>
      </w:rPr>
      <w:fldChar w:fldCharType="end"/>
    </w:r>
    <w:r>
      <w:rPr>
        <w:rStyle w:val="PageNumber"/>
        <w:rFonts w:eastAsia="Book Antiqua" w:cs="Book Antiqua" w:ascii="Book Antiqua" w:hAnsi="Book Antiqua"/>
        <w:b/>
        <w:bCs/>
        <w:sz w:val="20"/>
        <w:szCs w:val="20"/>
        <w:lang w:val="en-CA"/>
      </w:rPr>
    </w:r>
  </w:p>
  <w:p>
    <w:pPr>
      <w:pStyle w:val="Normal"/>
      <w:tabs>
        <w:tab w:val="clear" w:pos="720"/>
        <w:tab w:val="left" w:pos="-720" w:leader="none"/>
      </w:tabs>
      <w:suppressAutoHyphens w:val="true"/>
      <w:jc w:val="end"/>
      <w:rPr>
        <w:rStyle w:val="PageNumber"/>
        <w:rFonts w:ascii="Book Antiqua" w:hAnsi="Book Antiqua" w:eastAsia="Book Antiqua" w:cs="Book Antiqua"/>
        <w:b/>
        <w:bCs/>
        <w:sz w:val="20"/>
        <w:szCs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pacing w:val="-80"/>
        <w:kern w:val="2"/>
        <w:sz w:val="216"/>
        <w:szCs w:val="216"/>
        <w:lang w:val="en-CA"/>
      </w:rPr>
    </w:pPr>
    <w:r>
      <w:rPr>
        <w:spacing w:val="-80"/>
        <w:kern w:val="2"/>
        <w:sz w:val="216"/>
        <w:szCs w:val="216"/>
        <w:lang w:val="en-CA"/>
      </w:rPr>
      <mc:AlternateContent>
        <mc:Choice Requires="wps">
          <w:drawing>
            <wp:anchor behindDoc="0" distT="0" distB="0" distL="0" distR="0" simplePos="0" locked="0" layoutInCell="1" allowOverlap="1" relativeHeight="19">
              <wp:simplePos x="0" y="0"/>
              <wp:positionH relativeFrom="column">
                <wp:posOffset>-63500</wp:posOffset>
              </wp:positionH>
              <wp:positionV relativeFrom="paragraph">
                <wp:posOffset>164465</wp:posOffset>
              </wp:positionV>
              <wp:extent cx="505460" cy="986790"/>
              <wp:effectExtent l="0" t="0" r="0" b="133985"/>
              <wp:wrapNone/>
              <wp:docPr id="1" name=""/>
              <a:graphic xmlns:a="http://schemas.openxmlformats.org/drawingml/2006/main">
                <a:graphicData uri="http://schemas.microsoft.com/office/word/2010/wordprocessingShape">
                  <wps:wsp>
                    <wps:cNvSpPr txBox="1"/>
                    <wps:spPr>
                      <a:xfrm>
                        <a:off x="0" y="0"/>
                        <a:ext cx="505440" cy="986760"/>
                      </a:xfrm>
                      <a:prstGeom prst="rect">
                        <a:avLst/>
                      </a:prstGeom>
                      <a:noFill/>
                      <a:ln w="0">
                        <a:noFill/>
                      </a:ln>
                    </wps:spPr>
                    <wps:txb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pt;margin-top:12.95pt;width:39.75pt;height:77.65pt;mso-wrap-style:square;v-text-anchor:top" type="_x0000_t202">
              <v:textbo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drawing>
        <wp:inline distT="0" distB="0" distL="0" distR="0">
          <wp:extent cx="477520" cy="69532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37606" t="-37511" r="-29606" b="-30343"/>
                  <a:stretch>
                    <a:fillRect/>
                  </a:stretch>
                </pic:blipFill>
                <pic:spPr bwMode="auto">
                  <a:xfrm>
                    <a:off x="0" y="0"/>
                    <a:ext cx="477520" cy="695325"/>
                  </a:xfrm>
                  <a:prstGeom prst="rect">
                    <a:avLst/>
                  </a:prstGeom>
                  <a:noFill/>
                </pic:spPr>
              </pic:pic>
            </a:graphicData>
          </a:graphic>
        </wp:inline>
      </w:drawing>
      <mc:AlternateContent>
        <mc:Choice Requires="wps">
          <w:drawing>
            <wp:anchor behindDoc="0" distT="0" distB="0" distL="0" distR="0" simplePos="0" locked="0" layoutInCell="1" allowOverlap="1" relativeHeight="13">
              <wp:simplePos x="0" y="0"/>
              <wp:positionH relativeFrom="column">
                <wp:posOffset>-1097280</wp:posOffset>
              </wp:positionH>
              <wp:positionV relativeFrom="paragraph">
                <wp:posOffset>274320</wp:posOffset>
              </wp:positionV>
              <wp:extent cx="7706360" cy="210185"/>
              <wp:effectExtent l="0" t="0" r="0" b="0"/>
              <wp:wrapNone/>
              <wp:docPr id="3" name=""/>
              <a:graphic xmlns:a="http://schemas.openxmlformats.org/drawingml/2006/main">
                <a:graphicData uri="http://schemas.microsoft.com/office/word/2010/wordprocessingShape">
                  <wps:wsp>
                    <wps:cNvSpPr txBox="1"/>
                    <wps:spPr>
                      <a:xfrm>
                        <a:off x="0" y="0"/>
                        <a:ext cx="7706520" cy="210240"/>
                      </a:xfrm>
                      <a:prstGeom prst="rect">
                        <a:avLst/>
                      </a:prstGeom>
                      <a:noFill/>
                      <a:ln w="0">
                        <a:noFill/>
                      </a:ln>
                    </wps:spPr>
                    <wps:bodyPr/>
                  </wps:wsp>
                </a:graphicData>
              </a:graphic>
            </wp:anchor>
          </w:drawing>
        </mc:Choice>
        <mc:Fallback>
          <w:pict>
            <v:shape id="shape_0" stroked="f" o:allowincell="f" style="position:absolute;margin-left:-86.4pt;margin-top:21.6pt;width:606.75pt;height:16.5pt;mso-wrap-style:none;v-text-anchor:middle" type="_x0000_t202">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25">
              <wp:simplePos x="0" y="0"/>
              <wp:positionH relativeFrom="column">
                <wp:posOffset>-1188720</wp:posOffset>
              </wp:positionH>
              <wp:positionV relativeFrom="paragraph">
                <wp:posOffset>548640</wp:posOffset>
              </wp:positionV>
              <wp:extent cx="7820025" cy="0"/>
              <wp:effectExtent l="3175" t="3175" r="3175" b="3175"/>
              <wp:wrapNone/>
              <wp:docPr id="4" name=""/>
              <a:graphic xmlns:a="http://schemas.openxmlformats.org/drawingml/2006/main">
                <a:graphicData uri="http://schemas.microsoft.com/office/word/2010/wordprocessingShape">
                  <wps:wsp>
                    <wps:cNvSpPr/>
                    <wps:spPr>
                      <a:xfrm>
                        <a:off x="0" y="0"/>
                        <a:ext cx="78199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93.6pt,43.2pt" to="522.1pt,43.2pt" stroked="t" o:allowincell="f" style="position:absolute">
              <v:stroke color="black" weight="6480" joinstyle="round" endcap="flat"/>
              <v:fill o:detectmouseclick="t" on="false"/>
              <w10:wrap type="non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pacing w:val="-80"/>
        <w:kern w:val="2"/>
        <w:sz w:val="216"/>
        <w:szCs w:val="216"/>
        <w:lang w:val="en-CA"/>
      </w:rPr>
    </w:pPr>
    <w:r>
      <w:rPr>
        <w:spacing w:val="-80"/>
        <w:kern w:val="2"/>
        <w:sz w:val="216"/>
        <w:szCs w:val="216"/>
        <w:lang w:val="en-CA"/>
      </w:rPr>
      <w:drawing>
        <wp:inline distT="0" distB="0" distL="0" distR="0">
          <wp:extent cx="477520" cy="69532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37606" t="-37511" r="-29606" b="-30343"/>
                  <a:stretch>
                    <a:fillRect/>
                  </a:stretch>
                </pic:blipFill>
                <pic:spPr bwMode="auto">
                  <a:xfrm>
                    <a:off x="0" y="0"/>
                    <a:ext cx="477520" cy="695325"/>
                  </a:xfrm>
                  <a:prstGeom prst="rect">
                    <a:avLst/>
                  </a:prstGeom>
                  <a:noFill/>
                </pic:spPr>
              </pic:pic>
            </a:graphicData>
          </a:graphic>
        </wp:inline>
      </w:drawing>
      <mc:AlternateContent>
        <mc:Choice Requires="wps">
          <w:drawing>
            <wp:anchor behindDoc="0" distT="0" distB="0" distL="0" distR="0" simplePos="0" locked="0" layoutInCell="1" allowOverlap="1" relativeHeight="8">
              <wp:simplePos x="0" y="0"/>
              <wp:positionH relativeFrom="column">
                <wp:posOffset>-1097280</wp:posOffset>
              </wp:positionH>
              <wp:positionV relativeFrom="paragraph">
                <wp:posOffset>274320</wp:posOffset>
              </wp:positionV>
              <wp:extent cx="7706360" cy="210185"/>
              <wp:effectExtent l="0" t="0" r="0" b="0"/>
              <wp:wrapNone/>
              <wp:docPr id="6" name=""/>
              <a:graphic xmlns:a="http://schemas.openxmlformats.org/drawingml/2006/main">
                <a:graphicData uri="http://schemas.microsoft.com/office/word/2010/wordprocessingShape">
                  <wps:wsp>
                    <wps:cNvSpPr txBox="1"/>
                    <wps:spPr>
                      <a:xfrm>
                        <a:off x="0" y="0"/>
                        <a:ext cx="7706520" cy="210240"/>
                      </a:xfrm>
                      <a:prstGeom prst="rect">
                        <a:avLst/>
                      </a:prstGeom>
                      <a:noFill/>
                      <a:ln w="0">
                        <a:noFill/>
                      </a:ln>
                    </wps:spPr>
                    <wps:bodyPr/>
                  </wps:wsp>
                </a:graphicData>
              </a:graphic>
            </wp:anchor>
          </w:drawing>
        </mc:Choice>
        <mc:Fallback>
          <w:pict>
            <v:shape id="shape_0" stroked="f" o:allowincell="f" style="position:absolute;margin-left:-86.4pt;margin-top:21.6pt;width:606.75pt;height:16.5pt;mso-wrap-style:none;v-text-anchor:middle" type="_x0000_t202">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14">
              <wp:simplePos x="0" y="0"/>
              <wp:positionH relativeFrom="column">
                <wp:posOffset>-63500</wp:posOffset>
              </wp:positionH>
              <wp:positionV relativeFrom="paragraph">
                <wp:posOffset>164465</wp:posOffset>
              </wp:positionV>
              <wp:extent cx="505460" cy="986790"/>
              <wp:effectExtent l="0" t="0" r="0" b="133985"/>
              <wp:wrapNone/>
              <wp:docPr id="7" name=""/>
              <a:graphic xmlns:a="http://schemas.openxmlformats.org/drawingml/2006/main">
                <a:graphicData uri="http://schemas.microsoft.com/office/word/2010/wordprocessingShape">
                  <wps:wsp>
                    <wps:cNvSpPr txBox="1"/>
                    <wps:spPr>
                      <a:xfrm>
                        <a:off x="0" y="0"/>
                        <a:ext cx="505440" cy="986760"/>
                      </a:xfrm>
                      <a:prstGeom prst="rect">
                        <a:avLst/>
                      </a:prstGeom>
                      <a:noFill/>
                      <a:ln w="0">
                        <a:noFill/>
                      </a:ln>
                    </wps:spPr>
                    <wps:txb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 id="shape_0" stroked="f" o:allowincell="f" style="position:absolute;margin-left:-5pt;margin-top:12.95pt;width:39.75pt;height:77.65pt;mso-wrap-style:square;v-text-anchor:top" type="_x0000_t202">
              <v:textbo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20">
              <wp:simplePos x="0" y="0"/>
              <wp:positionH relativeFrom="column">
                <wp:posOffset>-1188720</wp:posOffset>
              </wp:positionH>
              <wp:positionV relativeFrom="paragraph">
                <wp:posOffset>548640</wp:posOffset>
              </wp:positionV>
              <wp:extent cx="7820025" cy="0"/>
              <wp:effectExtent l="3175" t="3175" r="3175" b="3175"/>
              <wp:wrapNone/>
              <wp:docPr id="8" name=""/>
              <a:graphic xmlns:a="http://schemas.openxmlformats.org/drawingml/2006/main">
                <a:graphicData uri="http://schemas.microsoft.com/office/word/2010/wordprocessingShape">
                  <wps:wsp>
                    <wps:cNvSpPr/>
                    <wps:spPr>
                      <a:xfrm>
                        <a:off x="0" y="0"/>
                        <a:ext cx="78199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93.6pt,43.2pt" to="522.1pt,43.2pt" stroked="t" o:allowincell="f" style="position:absolute">
              <v:stroke color="black" weight="6480" joinstyle="round"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revisionView w:insDel="0" w:formatting="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Roman" w:hAnsi="Roman" w:eastAsia="Roman" w:cs="Roman"/>
      <w:color w:val="auto"/>
      <w:sz w:val="25"/>
      <w:szCs w:val="25"/>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paragraph" w:styleId="Heading2">
    <w:name w:val="heading 2"/>
    <w:basedOn w:val="Normal"/>
    <w:next w:val="Normal"/>
    <w:qFormat/>
    <w:pPr>
      <w:keepNext w:val="true"/>
      <w:widowControl w:val="false"/>
      <w:numPr>
        <w:ilvl w:val="1"/>
        <w:numId w:val="1"/>
      </w:numPr>
      <w:outlineLvl w:val="1"/>
    </w:pPr>
    <w:rPr>
      <w:rFonts w:ascii="Times New Roman" w:hAnsi="Times New Roman" w:eastAsia="Times New Roman" w:cs="Times New Roman"/>
      <w:sz w:val="24"/>
      <w:szCs w:val="24"/>
      <w:lang w:val="en-AU"/>
    </w:rPr>
  </w:style>
  <w:style w:type="paragraph" w:styleId="Heading5">
    <w:name w:val="heading 5"/>
    <w:basedOn w:val="Normal"/>
    <w:next w:val="Normal"/>
    <w:qFormat/>
    <w:pPr>
      <w:keepNext w:val="true"/>
      <w:widowControl w:val="false"/>
      <w:numPr>
        <w:ilvl w:val="4"/>
        <w:numId w:val="1"/>
      </w:numPr>
      <w:outlineLvl w:val="4"/>
    </w:pPr>
    <w:rPr>
      <w:rFonts w:ascii="Times New Roman" w:hAnsi="Times New Roman" w:eastAsia="Times New Roman" w:cs="Times New Roman"/>
      <w:b/>
      <w:bCs/>
      <w:sz w:val="24"/>
      <w:szCs w:val="24"/>
      <w:lang w:val="en-AU"/>
    </w:rPr>
  </w:style>
  <w:style w:type="paragraph" w:styleId="Heading6">
    <w:name w:val="heading 6"/>
    <w:basedOn w:val="Normal"/>
    <w:next w:val="Normal"/>
    <w:qFormat/>
    <w:pPr>
      <w:keepNext w:val="true"/>
      <w:widowControl w:val="false"/>
      <w:numPr>
        <w:ilvl w:val="5"/>
        <w:numId w:val="1"/>
      </w:numPr>
      <w:ind w:hanging="0" w:start="720" w:end="0"/>
      <w:outlineLvl w:val="5"/>
    </w:pPr>
    <w:rPr>
      <w:rFonts w:ascii="Times New Roman" w:hAnsi="Times New Roman" w:eastAsia="Times New Roman" w:cs="Times New Roman"/>
      <w:b/>
      <w:bCs/>
      <w:i/>
      <w:iCs/>
      <w:sz w:val="24"/>
      <w:szCs w:val="24"/>
    </w:rPr>
  </w:style>
  <w:style w:type="paragraph" w:styleId="Heading7">
    <w:name w:val="heading 7"/>
    <w:basedOn w:val="Normal"/>
    <w:next w:val="Normal"/>
    <w:qFormat/>
    <w:pPr>
      <w:keepNext w:val="true"/>
      <w:widowControl w:val="false"/>
      <w:numPr>
        <w:ilvl w:val="6"/>
        <w:numId w:val="1"/>
      </w:numPr>
      <w:ind w:hanging="720" w:start="720" w:end="0"/>
      <w:jc w:val="both"/>
      <w:outlineLvl w:val="6"/>
    </w:pPr>
    <w:rPr>
      <w:rFonts w:ascii="Times New Roman" w:hAnsi="Times New Roman" w:eastAsia="Times New Roman" w:cs="Times New Roman"/>
      <w:b/>
      <w:bCs/>
      <w:i/>
      <w:iCs/>
      <w:sz w:val="24"/>
      <w:szCs w:val="24"/>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Style9">
    <w:name w:val="À&quot;_x0006_À"/>
    <w:basedOn w:val="DefaultParagraphFont"/>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Times New Roman" w:hAnsi="Times New Roman" w:eastAsia="Times New Roman" w:cs="Times New Roman"/>
      <w:sz w:val="20"/>
      <w:szCs w:val="20"/>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itlehdr">
    <w:name w:val="Titlehdr"/>
    <w:basedOn w:val="Normal"/>
    <w:qFormat/>
    <w:pPr>
      <w:ind w:hanging="0" w:start="1440" w:end="0"/>
    </w:pPr>
    <w:rPr>
      <w:rFonts w:ascii="Times New Roman" w:hAnsi="Times New Roman" w:eastAsia="Times New Roman" w:cs="Times New Roman"/>
      <w:sz w:val="26"/>
      <w:szCs w:val="26"/>
    </w:rPr>
  </w:style>
  <w:style w:type="paragraph" w:styleId="Comphdr">
    <w:name w:val="Comphdr"/>
    <w:basedOn w:val="Normal"/>
    <w:qFormat/>
    <w:pPr>
      <w:ind w:hanging="0" w:start="720" w:end="0"/>
    </w:pPr>
    <w:rPr>
      <w:rFonts w:ascii="Times New Roman" w:hAnsi="Times New Roman" w:eastAsia="Times New Roman" w:cs="Times New Roman"/>
      <w:sz w:val="26"/>
      <w:szCs w:val="26"/>
      <w:u w:val="single"/>
    </w:rPr>
  </w:style>
  <w:style w:type="paragraph" w:styleId="Mainhdr">
    <w:name w:val="Mainhdr"/>
    <w:basedOn w:val="Heading1"/>
    <w:qFormat/>
    <w:pPr>
      <w:numPr>
        <w:ilvl w:val="0"/>
        <w:numId w:val="0"/>
      </w:numPr>
      <w:outlineLvl w:val="9"/>
    </w:pPr>
    <w:rPr>
      <w:rFonts w:ascii="Times New Roman" w:hAnsi="Times New Roman" w:eastAsia="Times New Roman" w:cs="Times New Roman"/>
      <w:kern w:val="0"/>
      <w:sz w:val="26"/>
      <w:szCs w:val="26"/>
      <w:u w:val="single"/>
    </w:rPr>
  </w:style>
  <w:style w:type="paragraph" w:styleId="1COMPANYPARAGRAPH">
    <w:name w:val="1COMPANY PARAGRAPH"/>
    <w:basedOn w:val="Normal"/>
    <w:qFormat/>
    <w:pPr>
      <w:tabs>
        <w:tab w:val="clear" w:pos="720"/>
        <w:tab w:val="left" w:pos="-720" w:leader="none"/>
      </w:tabs>
      <w:suppressAutoHyphens w:val="true"/>
      <w:spacing w:lineRule="atLeast" w:line="280"/>
      <w:ind w:hanging="0" w:start="720" w:end="0"/>
      <w:jc w:val="both"/>
    </w:pPr>
    <w:rPr>
      <w:rFonts w:ascii="Book Antiqua" w:hAnsi="Book Antiqua" w:eastAsia="Book Antiqua" w:cs="Book Antiqua"/>
      <w:sz w:val="24"/>
      <w:szCs w:val="24"/>
    </w:rPr>
  </w:style>
  <w:style w:type="paragraph" w:styleId="1COMPANYADDRESS">
    <w:name w:val="1COMPANY ADDRESS"/>
    <w:basedOn w:val="Normal"/>
    <w:qFormat/>
    <w:pPr>
      <w:tabs>
        <w:tab w:val="clear" w:pos="720"/>
        <w:tab w:val="left" w:pos="-720" w:leader="none"/>
      </w:tabs>
      <w:suppressAutoHyphens w:val="true"/>
      <w:spacing w:lineRule="atLeast" w:line="280"/>
      <w:ind w:hanging="0" w:start="720" w:end="0"/>
      <w:jc w:val="both"/>
    </w:pPr>
    <w:rPr>
      <w:rFonts w:ascii="Book Antiqua" w:hAnsi="Book Antiqua" w:eastAsia="Book Antiqua" w:cs="Book Antiqua"/>
      <w:sz w:val="24"/>
      <w:szCs w:val="24"/>
    </w:rPr>
  </w:style>
  <w:style w:type="paragraph" w:styleId="COMPANYNAME">
    <w:name w:val="COMPANY NAME"/>
    <w:basedOn w:val="Normal"/>
    <w:qFormat/>
    <w:pPr>
      <w:ind w:hanging="0" w:start="720" w:end="0"/>
    </w:pPr>
    <w:rPr>
      <w:rFonts w:ascii="Book Antiqua" w:hAnsi="Book Antiqua" w:eastAsia="Book Antiqua" w:cs="Book Antiqua"/>
      <w:sz w:val="24"/>
      <w:szCs w:val="24"/>
      <w:u w:val="single"/>
    </w:rPr>
  </w:style>
  <w:style w:type="paragraph" w:styleId="CompanyCityandDates">
    <w:name w:val="Company City and Dates"/>
    <w:basedOn w:val="Normal"/>
    <w:qFormat/>
    <w:pPr>
      <w:ind w:hanging="0" w:start="720" w:end="0"/>
    </w:pPr>
    <w:rPr>
      <w:rFonts w:ascii="Book Antiqua" w:hAnsi="Book Antiqua" w:eastAsia="Book Antiqua" w:cs="Book Antiqua"/>
      <w:sz w:val="24"/>
      <w:szCs w:val="24"/>
    </w:rPr>
  </w:style>
  <w:style w:type="paragraph" w:styleId="BodyTextIndent2">
    <w:name w:val="Body Text Indent 2"/>
    <w:basedOn w:val="Normal"/>
    <w:qFormat/>
    <w:pPr>
      <w:widowControl w:val="false"/>
      <w:tabs>
        <w:tab w:val="clear" w:pos="720"/>
        <w:tab w:val="left" w:pos="1980" w:leader="none"/>
        <w:tab w:val="left" w:pos="2340" w:leader="none"/>
        <w:tab w:val="left" w:pos="2700" w:leader="none"/>
        <w:tab w:val="left" w:pos="7212" w:leader="none"/>
      </w:tabs>
      <w:spacing w:lineRule="exact" w:line="260"/>
      <w:ind w:hanging="1980" w:start="1980" w:end="0"/>
    </w:pPr>
    <w:rPr>
      <w:rFonts w:ascii="Book Antiqua" w:hAnsi="Book Antiqua" w:eastAsia="Book Antiqua" w:cs="Book Antiqua"/>
      <w:kern w:val="2"/>
      <w:sz w:val="20"/>
      <w:szCs w:val="20"/>
    </w:rPr>
  </w:style>
  <w:style w:type="paragraph" w:styleId="H3">
    <w:name w:val="H3"/>
    <w:basedOn w:val="Normal"/>
    <w:next w:val="Normal"/>
    <w:qFormat/>
    <w:pPr>
      <w:keepNext w:val="true"/>
      <w:spacing w:before="100" w:after="100"/>
    </w:pPr>
    <w:rPr>
      <w:rFonts w:ascii="Times New Roman" w:hAnsi="Times New Roman" w:eastAsia="Times New Roman" w:cs="Times New Roman"/>
      <w:b/>
      <w:b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2000-02-02T17:07:00Z</dcterms:created>
  <dc:creator>K/FI</dc:creator>
  <dc:description/>
  <dc:language>en-CA</dc:language>
  <cp:lastModifiedBy>Kevin Gaunt</cp:lastModifiedBy>
  <cp:lastPrinted>2000-02-02T15:17:00Z</cp:lastPrinted>
  <dcterms:modified xsi:type="dcterms:W3CDTF">2000-02-05T04:53:00Z</dcterms:modified>
  <cp:revision>77</cp:revision>
  <dc:subject/>
  <dc:title>Position Specification Template</dc:title>
</cp:coreProperties>
</file>