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hdr"/>
        <w:spacing w:before="0" w:after="240"/>
        <w:jc w:val="both"/>
        <w:rPr>
          <w:rFonts w:ascii="Book Antiqua" w:hAnsi="Book Antiqua" w:eastAsia="Book Antiqua" w:cs="Book Antiqua"/>
          <w:sz w:val="24"/>
          <w:szCs w:val="24"/>
        </w:rPr>
      </w:pPr>
      <w:r>
        <w:rPr>
          <w:rFonts w:eastAsia="Book Antiqua" w:cs="Book Antiqua" w:ascii="Book Antiqua" w:hAnsi="Book Antiqua"/>
          <w:sz w:val="24"/>
          <w:szCs w:val="24"/>
        </w:rPr>
        <w:t>PERSONAL DATA</w:t>
      </w:r>
    </w:p>
    <w:p>
      <w:pPr>
        <w:pStyle w:val="Normal"/>
        <w:jc w:val="both"/>
        <w:rPr>
          <w:rFonts w:ascii="Book Antiqua" w:hAnsi="Book Antiqua" w:eastAsia="Book Antiqua" w:cs="Book Antiqua"/>
          <w:sz w:val="24"/>
          <w:szCs w:val="24"/>
          <w:u w:val="single"/>
        </w:rPr>
      </w:pPr>
      <w:r>
        <w:rPr>
          <w:rFonts w:eastAsia="Book Antiqua" w:cs="Book Antiqua" w:ascii="Book Antiqua" w:hAnsi="Book Antiqua"/>
          <w:sz w:val="24"/>
          <w:szCs w:val="24"/>
          <w:u w:val="single"/>
        </w:rPr>
      </w:r>
    </w:p>
    <w:p>
      <w:pPr>
        <w:pStyle w:val="Normal"/>
        <w:tabs>
          <w:tab w:val="clear" w:pos="720"/>
          <w:tab w:val="left" w:pos="4320" w:leader="none"/>
        </w:tabs>
        <w:ind w:start="720" w:end="0"/>
        <w:jc w:val="both"/>
        <w:rPr/>
      </w:pPr>
      <w:r>
        <w:rPr>
          <w:rFonts w:eastAsia="Book Antiqua" w:cs="Book Antiqua" w:ascii="Book Antiqua" w:hAnsi="Book Antiqua"/>
          <w:sz w:val="24"/>
          <w:szCs w:val="24"/>
        </w:rPr>
        <w:t>NAME:</w:t>
        <w:tab/>
      </w:r>
      <w:r>
        <w:rPr>
          <w:rFonts w:eastAsia="Book Antiqua" w:cs="Book Antiqua" w:ascii="Book Antiqua" w:hAnsi="Book Antiqua"/>
          <w:b/>
          <w:bCs/>
          <w:sz w:val="24"/>
          <w:szCs w:val="24"/>
        </w:rPr>
        <w:t>EUGENE N. DUBAY</w:t>
      </w:r>
    </w:p>
    <w:p>
      <w:pPr>
        <w:pStyle w:val="Normal"/>
        <w:tabs>
          <w:tab w:val="clear" w:pos="720"/>
          <w:tab w:val="left" w:pos="4320" w:leader="none"/>
        </w:tabs>
        <w:ind w:start="720" w:end="0"/>
        <w:jc w:val="both"/>
        <w:rPr>
          <w:rFonts w:ascii="Book Antiqua" w:hAnsi="Book Antiqua" w:eastAsia="Book Antiqua" w:cs="Book Antiqua"/>
          <w:b/>
          <w:bCs/>
          <w:sz w:val="24"/>
          <w:szCs w:val="24"/>
        </w:rPr>
      </w:pPr>
      <w:r>
        <w:rPr>
          <w:rFonts w:eastAsia="Book Antiqua" w:cs="Book Antiqua" w:ascii="Book Antiqua" w:hAnsi="Book Antiqua"/>
          <w:b/>
          <w:bCs/>
          <w:sz w:val="24"/>
          <w:szCs w:val="24"/>
        </w:rPr>
      </w:r>
    </w:p>
    <w:p>
      <w:pPr>
        <w:pStyle w:val="Normal"/>
        <w:tabs>
          <w:tab w:val="clear" w:pos="720"/>
          <w:tab w:val="left" w:pos="4320" w:leader="none"/>
        </w:tabs>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RESIDENCE:</w:t>
        <w:tab/>
        <w:t>4740 Roanoke Parkway</w:t>
      </w:r>
    </w:p>
    <w:p>
      <w:pPr>
        <w:pStyle w:val="Normal"/>
        <w:tabs>
          <w:tab w:val="clear" w:pos="720"/>
          <w:tab w:val="left" w:pos="4320" w:leader="none"/>
        </w:tabs>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ab/>
        <w:t>Kansas City, Missouri  64112</w:t>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TELEPHONE:</w:t>
        <w:tab/>
        <w:tab/>
        <w:tab/>
        <w:t>H: (816) 756-5772</w:t>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ab/>
        <w:tab/>
        <w:tab/>
        <w:tab/>
        <w:tab/>
        <w:t>O: (913) 319-8701</w:t>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ab/>
        <w:tab/>
        <w:tab/>
        <w:tab/>
        <w:tab/>
        <w:t>Email: gdubay@kgas.com</w:t>
      </w:r>
    </w:p>
    <w:p>
      <w:pPr>
        <w:pStyle w:val="Mainhdr"/>
        <w:spacing w:before="0" w:after="6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Mainhdr"/>
        <w:spacing w:before="0" w:after="240"/>
        <w:jc w:val="both"/>
        <w:rPr>
          <w:rFonts w:ascii="Book Antiqua" w:hAnsi="Book Antiqua" w:eastAsia="Book Antiqua" w:cs="Book Antiqua"/>
          <w:b w:val="false"/>
          <w:bCs w:val="false"/>
          <w:sz w:val="24"/>
          <w:szCs w:val="24"/>
          <w:u w:val="none"/>
        </w:rPr>
      </w:pPr>
      <w:r>
        <w:rPr>
          <w:rFonts w:eastAsia="Book Antiqua" w:cs="Book Antiqua" w:ascii="Book Antiqua" w:hAnsi="Book Antiqua"/>
          <w:sz w:val="24"/>
          <w:szCs w:val="24"/>
        </w:rPr>
        <w:t>EDUCATION</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Texas A &amp; M University; College Station, Texas</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ab/>
        <w:t>Master of Business Administration, Accounting - 1977</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U.S. Naval Academy; Annapolis, Maryland</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ab/>
        <w:t>Bachelor of Science, Political Science - 1971</w:t>
      </w:r>
    </w:p>
    <w:p>
      <w:pPr>
        <w:pStyle w:val="Mainhdr"/>
        <w:tabs>
          <w:tab w:val="left" w:pos="720" w:leader="none"/>
          <w:tab w:val="left" w:pos="1440" w:leader="none"/>
          <w:tab w:val="left" w:pos="2160" w:leader="none"/>
          <w:tab w:val="left" w:pos="2880" w:leader="none"/>
          <w:tab w:val="left" w:pos="3600" w:leader="none"/>
        </w:tabs>
        <w:spacing w:before="0" w:after="24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r>
    </w:p>
    <w:p>
      <w:pPr>
        <w:pStyle w:val="Mainhdr"/>
        <w:tabs>
          <w:tab w:val="left" w:pos="720" w:leader="none"/>
          <w:tab w:val="left" w:pos="1440" w:leader="none"/>
          <w:tab w:val="left" w:pos="2160" w:leader="none"/>
          <w:tab w:val="left" w:pos="2880" w:leader="none"/>
          <w:tab w:val="left" w:pos="3600" w:leader="none"/>
        </w:tabs>
        <w:spacing w:before="0" w:after="240"/>
        <w:jc w:val="both"/>
        <w:rPr>
          <w:rFonts w:ascii="Book Antiqua" w:hAnsi="Book Antiqua" w:eastAsia="Book Antiqua" w:cs="Book Antiqua"/>
          <w:sz w:val="24"/>
          <w:szCs w:val="24"/>
        </w:rPr>
      </w:pPr>
      <w:r>
        <w:rPr>
          <w:rFonts w:eastAsia="Book Antiqua" w:cs="Book Antiqua" w:ascii="Book Antiqua" w:hAnsi="Book Antiqua"/>
          <w:sz w:val="24"/>
          <w:szCs w:val="24"/>
        </w:rPr>
        <w:t>BUSINESS HISTORY</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u w:val="single"/>
        </w:rPr>
        <w:t>ONEOK, INC.</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Tulsa, Oklahoma</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1996 to Present</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ind w:start="720" w:end="0"/>
        <w:rPr/>
      </w:pPr>
      <w:r>
        <w:rPr>
          <w:rFonts w:eastAsia="Book Antiqua" w:cs="Book Antiqua" w:ascii="Book Antiqua" w:hAnsi="Book Antiqua"/>
          <w:color w:val="000000"/>
          <w:sz w:val="24"/>
          <w:szCs w:val="24"/>
        </w:rPr>
        <w:t xml:space="preserve">ONEOK, Inc. is a natural gas distributor, serving 1.4 million customers in Oklahoma and Kansas through Oklahoma Natural Gas and Kansas Gas Service. The company also provides natural gas transmission, supply, storage, natural gas production, processing and marketing.  Sales revenue totaled </w:t>
      </w:r>
      <w:r>
        <w:rPr>
          <w:rFonts w:eastAsia="Book Antiqua" w:cs="Book Antiqua" w:ascii="Book Antiqua" w:hAnsi="Book Antiqua"/>
          <w:sz w:val="24"/>
          <w:szCs w:val="24"/>
        </w:rPr>
        <w:t>$1.8 billion in 1999.</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caps/>
          <w:spacing w:val="-2"/>
          <w:sz w:val="24"/>
          <w:szCs w:val="24"/>
          <w:u w:val="single"/>
        </w:rPr>
        <w:t>PRESIDENT, Kansas Gas service distribution</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1997 to Present</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b/>
          <w:bCs/>
          <w:spacing w:val="-2"/>
          <w:sz w:val="24"/>
          <w:szCs w:val="24"/>
        </w:rPr>
      </w:pPr>
      <w:r>
        <w:rPr>
          <w:rFonts w:eastAsia="Book Antiqua" w:cs="Book Antiqua" w:ascii="Book Antiqua" w:hAnsi="Book Antiqua"/>
          <w:b/>
          <w:bCs/>
          <w:spacing w:val="-2"/>
          <w:sz w:val="24"/>
          <w:szCs w:val="24"/>
        </w:rPr>
      </w:r>
    </w:p>
    <w:p>
      <w:pPr>
        <w:pStyle w:val="Normal"/>
        <w:spacing w:before="120" w:after="120"/>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t xml:space="preserve">Reporting to the Chairman &amp; CEO, Mr. Dubay is responsible for operations, marketing and administrative matters for an autonomous distribution company with approximately $500 million in revenue (serving 650,000 customers in the state of Kansas).  </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t>VICE PRESIDENT, CORPORATE DEVELOPMENT</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1996 to 1997</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Mr. Dubay was responsible for identification and pursuit of development opportunities.  He led negotiations for transactions and oversaw activity leading to the closing of transactions.  Accomplishments included:</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numPr>
          <w:ilvl w:val="0"/>
          <w:numId w:val="2"/>
        </w:numPr>
        <w:tabs>
          <w:tab w:val="clear" w:pos="720"/>
          <w:tab w:val="left" w:pos="0" w:leader="none"/>
          <w:tab w:val="left" w:pos="36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Negotiated agreement to purchase gas transmission, distribution, marketing and liquid extraction businesses of Western Resources Co. for approximately $660 million.</w:t>
      </w:r>
    </w:p>
    <w:p>
      <w:pPr>
        <w:pStyle w:val="Normal"/>
        <w:numPr>
          <w:ilvl w:val="0"/>
          <w:numId w:val="2"/>
        </w:numPr>
        <w:tabs>
          <w:tab w:val="clear" w:pos="720"/>
          <w:tab w:val="left" w:pos="0" w:leader="none"/>
          <w:tab w:val="left" w:pos="36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Led transition teams that obtained regulatory approval in two states and carved out the gas operation from the combined electric/gas business.</w:t>
      </w:r>
    </w:p>
    <w:p>
      <w:pPr>
        <w:pStyle w:val="Normal"/>
        <w:numPr>
          <w:ilvl w:val="0"/>
          <w:numId w:val="2"/>
        </w:numPr>
        <w:tabs>
          <w:tab w:val="clear" w:pos="720"/>
          <w:tab w:val="left" w:pos="0" w:leader="none"/>
          <w:tab w:val="left" w:pos="360" w:leader="none"/>
          <w:tab w:val="left" w:pos="1080" w:leader="none"/>
          <w:tab w:val="left" w:pos="1800" w:leader="none"/>
          <w:tab w:val="left" w:pos="2520" w:leader="none"/>
        </w:tabs>
        <w:suppressAutoHyphens w:val="true"/>
        <w:spacing w:lineRule="auto" w:line="233" w:before="0" w:after="120"/>
        <w:ind w:hanging="36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 xml:space="preserve">Obtained orders from state commissions in Oklahoma and Kansas that included moratorium but no significant revenue reduction of expensive give backs. </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t>SOUTHERN UNION COMPANY</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Austin, Texas</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1981 to 1996</w:t>
      </w:r>
    </w:p>
    <w:p>
      <w:pPr>
        <w:pStyle w:val="Normal"/>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ind w:start="720" w:end="0"/>
        <w:rPr/>
      </w:pPr>
      <w:r>
        <w:rPr>
          <w:rFonts w:eastAsia="Book Antiqua" w:cs="Book Antiqua" w:ascii="Book Antiqua" w:hAnsi="Book Antiqua"/>
          <w:color w:val="000000"/>
          <w:sz w:val="24"/>
          <w:szCs w:val="24"/>
        </w:rPr>
        <w:t>Southern Union markets natural gas to end users, operates gas pipeline systems in Texas, sells gas-powered AC units and other gas-powered technologies, invests in the development of small gas turbine generators, and distributes propane. Southern UnionÆs subsidiaries include Atlantic Utilities, Missouri Gas Energy, PG Energy and Southern Union Gas divisions. Natural gas is distributed to 1.2 million customers in Florida, Missouri, Pennsylvania and Texas through it various divisions.  Southern Union currently has plans to buy Fall River Gas of Massachusetts and Providence Energy and Valley Resources of Rhode Island.</w:t>
      </w:r>
      <w:r>
        <w:rPr>
          <w:rFonts w:eastAsia="Book Antiqua" w:cs="Book Antiqua" w:ascii="Book Antiqua" w:hAnsi="Book Antiqua"/>
          <w:sz w:val="24"/>
          <w:szCs w:val="24"/>
        </w:rPr>
        <w:t xml:space="preserve"> </w:t>
      </w:r>
      <w:r>
        <w:rPr>
          <w:rFonts w:eastAsia="Book Antiqua" w:cs="Book Antiqua" w:ascii="Book Antiqua" w:hAnsi="Book Antiqua"/>
          <w:color w:val="000000"/>
          <w:sz w:val="24"/>
          <w:szCs w:val="24"/>
        </w:rPr>
        <w:t>Sales revenue totaled $605 million in 1999.</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caps/>
          <w:spacing w:val="-2"/>
          <w:sz w:val="24"/>
          <w:szCs w:val="24"/>
          <w:u w:val="single"/>
        </w:rPr>
        <w:t>executive vice president, coo - missouri gas energy</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rPr>
      </w:pPr>
      <w:r>
        <w:rPr>
          <w:rFonts w:eastAsia="Book Antiqua" w:cs="Book Antiqua" w:ascii="Book Antiqua" w:hAnsi="Book Antiqua"/>
          <w:spacing w:val="-2"/>
          <w:sz w:val="24"/>
          <w:szCs w:val="24"/>
        </w:rPr>
        <w:t>Kansas City, Missouri</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spacing w:val="-2"/>
          <w:sz w:val="24"/>
          <w:szCs w:val="24"/>
        </w:rPr>
        <w:t>1994</w:t>
      </w:r>
      <w:r>
        <w:rPr>
          <w:rFonts w:eastAsia="Book Antiqua" w:cs="Book Antiqua" w:ascii="Book Antiqua" w:hAnsi="Book Antiqua"/>
          <w:caps/>
          <w:spacing w:val="-2"/>
          <w:sz w:val="24"/>
          <w:szCs w:val="24"/>
        </w:rPr>
        <w:t xml:space="preserve"> </w:t>
      </w:r>
      <w:r>
        <w:rPr>
          <w:rFonts w:eastAsia="Book Antiqua" w:cs="Book Antiqua" w:ascii="Book Antiqua" w:hAnsi="Book Antiqua"/>
          <w:spacing w:val="-2"/>
          <w:sz w:val="24"/>
          <w:szCs w:val="24"/>
        </w:rPr>
        <w:t>to</w:t>
      </w:r>
      <w:r>
        <w:rPr>
          <w:rFonts w:eastAsia="Book Antiqua" w:cs="Book Antiqua" w:ascii="Book Antiqua" w:hAnsi="Book Antiqua"/>
          <w:caps/>
          <w:spacing w:val="-2"/>
          <w:sz w:val="24"/>
          <w:szCs w:val="24"/>
        </w:rPr>
        <w:t xml:space="preserve"> 1996</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caps/>
          <w:spacing w:val="-2"/>
          <w:sz w:val="24"/>
          <w:szCs w:val="24"/>
          <w:u w:val="single"/>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Reporting to the President of Southern Union Company, Mr. DubayÆs responsibilities included operation and headquarters functions of 460,000-customer utility operation based in Kansas City, Missouri.   Accomplishments included:</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b/>
          <w:bCs/>
          <w:spacing w:val="-2"/>
          <w:sz w:val="24"/>
          <w:szCs w:val="24"/>
        </w:rPr>
      </w:pPr>
      <w:r>
        <w:rPr>
          <w:rFonts w:eastAsia="Book Antiqua" w:cs="Book Antiqua" w:ascii="Book Antiqua" w:hAnsi="Book Antiqua"/>
          <w:b/>
          <w:bCs/>
          <w:spacing w:val="-2"/>
          <w:sz w:val="24"/>
          <w:szCs w:val="24"/>
        </w:rPr>
      </w:r>
    </w:p>
    <w:p>
      <w:pPr>
        <w:pStyle w:val="Normal"/>
        <w:numPr>
          <w:ilvl w:val="0"/>
          <w:numId w:val="3"/>
        </w:numPr>
        <w:tabs>
          <w:tab w:val="clear" w:pos="720"/>
          <w:tab w:val="left" w:pos="0" w:leader="none"/>
          <w:tab w:val="left" w:pos="36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Reduced total payroll costs by more than 15 percent while maintaining a comparable level of customer service (accomplished in initial six month period of operations).</w:t>
      </w:r>
    </w:p>
    <w:p>
      <w:pPr>
        <w:pStyle w:val="Normal"/>
        <w:numPr>
          <w:ilvl w:val="0"/>
          <w:numId w:val="3"/>
        </w:numPr>
        <w:tabs>
          <w:tab w:val="clear" w:pos="720"/>
          <w:tab w:val="left" w:pos="0" w:leader="none"/>
          <w:tab w:val="left" w:pos="36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Improved division earnings by $10 million in the first 12 months of operation through a combination of cost reduction and revenue enhancement.</w:t>
      </w:r>
    </w:p>
    <w:p>
      <w:pPr>
        <w:pStyle w:val="Normal"/>
        <w:numPr>
          <w:ilvl w:val="0"/>
          <w:numId w:val="3"/>
        </w:numPr>
        <w:tabs>
          <w:tab w:val="clear" w:pos="720"/>
          <w:tab w:val="left" w:pos="0" w:leader="none"/>
          <w:tab w:val="left" w:pos="36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Led a change in employee culture and productivity that resulted in fewer collective bargaining grievances and workmenÆs compensations claims.</w:t>
      </w:r>
    </w:p>
    <w:p>
      <w:pPr>
        <w:pStyle w:val="Normal"/>
        <w:numPr>
          <w:ilvl w:val="0"/>
          <w:numId w:val="3"/>
        </w:numPr>
        <w:tabs>
          <w:tab w:val="clear" w:pos="720"/>
          <w:tab w:val="left" w:pos="0" w:leader="none"/>
          <w:tab w:val="left" w:pos="36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Rebuilt and restored the companyÆs relationship with the Missouri Public Service Commission in the first six months of operations.</w:t>
      </w:r>
    </w:p>
    <w:p>
      <w:pPr>
        <w:pStyle w:val="Normal"/>
        <w:numPr>
          <w:ilvl w:val="0"/>
          <w:numId w:val="3"/>
        </w:numPr>
        <w:tabs>
          <w:tab w:val="clear" w:pos="720"/>
          <w:tab w:val="left" w:pos="0" w:leader="none"/>
          <w:tab w:val="left" w:pos="360" w:leader="none"/>
          <w:tab w:val="left" w:pos="1080" w:leader="none"/>
          <w:tab w:val="left" w:pos="1800" w:leader="none"/>
          <w:tab w:val="left" w:pos="2520" w:leader="none"/>
        </w:tabs>
        <w:suppressAutoHyphens w:val="true"/>
        <w:spacing w:lineRule="auto" w:line="233" w:before="0" w:after="120"/>
        <w:ind w:hanging="36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Initiated total quality management program that resulted in productivity gains in almost all areas of the utility operation.</w:t>
      </w:r>
    </w:p>
    <w:p>
      <w:pPr>
        <w:pStyle w:val="Normal"/>
        <w:tabs>
          <w:tab w:val="left" w:pos="720" w:leader="none"/>
          <w:tab w:val="left" w:pos="1440" w:leader="none"/>
          <w:tab w:val="left" w:pos="2160" w:leader="none"/>
          <w:tab w:val="left" w:pos="2880" w:leader="none"/>
        </w:tabs>
        <w:suppressAutoHyphens w:val="true"/>
        <w:spacing w:lineRule="auto" w:line="233"/>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caps/>
          <w:spacing w:val="-2"/>
          <w:sz w:val="24"/>
          <w:szCs w:val="24"/>
          <w:u w:val="single"/>
        </w:rPr>
        <w:t>senior vice president, southern Union company</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spacing w:val="-2"/>
          <w:sz w:val="24"/>
          <w:szCs w:val="24"/>
        </w:rPr>
        <w:t>1989</w:t>
      </w:r>
      <w:r>
        <w:rPr>
          <w:rFonts w:eastAsia="Book Antiqua" w:cs="Book Antiqua" w:ascii="Book Antiqua" w:hAnsi="Book Antiqua"/>
          <w:caps/>
          <w:spacing w:val="-2"/>
          <w:sz w:val="24"/>
          <w:szCs w:val="24"/>
        </w:rPr>
        <w:t xml:space="preserve"> </w:t>
      </w:r>
      <w:r>
        <w:rPr>
          <w:rFonts w:eastAsia="Book Antiqua" w:cs="Book Antiqua" w:ascii="Book Antiqua" w:hAnsi="Book Antiqua"/>
          <w:spacing w:val="-2"/>
          <w:sz w:val="24"/>
          <w:szCs w:val="24"/>
        </w:rPr>
        <w:t>to</w:t>
      </w:r>
      <w:r>
        <w:rPr>
          <w:rFonts w:eastAsia="Book Antiqua" w:cs="Book Antiqua" w:ascii="Book Antiqua" w:hAnsi="Book Antiqua"/>
          <w:caps/>
          <w:spacing w:val="-2"/>
          <w:sz w:val="24"/>
          <w:szCs w:val="24"/>
        </w:rPr>
        <w:t xml:space="preserve"> </w:t>
      </w:r>
      <w:r>
        <w:rPr>
          <w:rFonts w:eastAsia="Book Antiqua" w:cs="Book Antiqua" w:ascii="Book Antiqua" w:hAnsi="Book Antiqua"/>
          <w:spacing w:val="-2"/>
          <w:sz w:val="24"/>
          <w:szCs w:val="24"/>
        </w:rPr>
        <w:t>1993</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caps/>
          <w:spacing w:val="-2"/>
          <w:sz w:val="24"/>
          <w:szCs w:val="24"/>
          <w:u w:val="single"/>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b/>
          <w:bCs/>
          <w:spacing w:val="-2"/>
          <w:sz w:val="24"/>
          <w:szCs w:val="24"/>
        </w:rPr>
      </w:pPr>
      <w:r>
        <w:rPr>
          <w:rFonts w:eastAsia="Book Antiqua" w:cs="Book Antiqua" w:ascii="Book Antiqua" w:hAnsi="Book Antiqua"/>
          <w:spacing w:val="-2"/>
          <w:sz w:val="24"/>
          <w:szCs w:val="24"/>
        </w:rPr>
        <w:t>Mr. Dubay was responsible for mergers and acquisitions.  He supervised the gas supply division, public relations, strategic planning, regulator affairs and shareholder communications.  Accomplishments included:</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b/>
          <w:bCs/>
          <w:spacing w:val="-2"/>
          <w:sz w:val="24"/>
          <w:szCs w:val="24"/>
        </w:rPr>
      </w:pPr>
      <w:r>
        <w:rPr>
          <w:rFonts w:eastAsia="Book Antiqua" w:cs="Book Antiqua" w:ascii="Book Antiqua" w:hAnsi="Book Antiqua"/>
          <w:b/>
          <w:bCs/>
          <w:spacing w:val="-2"/>
          <w:sz w:val="24"/>
          <w:szCs w:val="24"/>
        </w:rPr>
      </w:r>
    </w:p>
    <w:p>
      <w:pPr>
        <w:pStyle w:val="Normal"/>
        <w:numPr>
          <w:ilvl w:val="0"/>
          <w:numId w:val="4"/>
        </w:numPr>
        <w:tabs>
          <w:tab w:val="clear" w:pos="720"/>
          <w:tab w:val="left" w:pos="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Identified acquisition targets among utility operations and developed strategic plans for pursuing those companies.</w:t>
      </w:r>
    </w:p>
    <w:p>
      <w:pPr>
        <w:pStyle w:val="Normal"/>
        <w:numPr>
          <w:ilvl w:val="0"/>
          <w:numId w:val="4"/>
        </w:numPr>
        <w:tabs>
          <w:tab w:val="clear" w:pos="720"/>
          <w:tab w:val="left" w:pos="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Negotiated acquisition of seven utility systems for Southern Union Company over a three year period.  Acquisitions ranged in size from $400 million to $1 million.</w:t>
      </w:r>
    </w:p>
    <w:p>
      <w:pPr>
        <w:pStyle w:val="Normal"/>
        <w:numPr>
          <w:ilvl w:val="0"/>
          <w:numId w:val="4"/>
        </w:numPr>
        <w:tabs>
          <w:tab w:val="clear" w:pos="720"/>
          <w:tab w:val="left" w:pos="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Doubled the size of the company in the three year period through acquisition efforts.</w:t>
      </w:r>
    </w:p>
    <w:p>
      <w:pPr>
        <w:pStyle w:val="Normal"/>
        <w:numPr>
          <w:ilvl w:val="0"/>
          <w:numId w:val="4"/>
        </w:numPr>
        <w:tabs>
          <w:tab w:val="clear" w:pos="720"/>
          <w:tab w:val="left" w:pos="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Participated as a key member of a management team, successful in obtaining investment grade ratings of a $400 million debt deal with only $50 million equity participation.</w:t>
      </w:r>
    </w:p>
    <w:p>
      <w:pPr>
        <w:pStyle w:val="Normal"/>
        <w:numPr>
          <w:ilvl w:val="0"/>
          <w:numId w:val="4"/>
        </w:numPr>
        <w:tabs>
          <w:tab w:val="clear" w:pos="720"/>
          <w:tab w:val="left" w:pos="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Obtained innovative relief in major operating areas.  The rate relief served as a model for other utilities in the region.</w:t>
      </w:r>
    </w:p>
    <w:p>
      <w:pPr>
        <w:pStyle w:val="Normal"/>
        <w:numPr>
          <w:ilvl w:val="0"/>
          <w:numId w:val="4"/>
        </w:numPr>
        <w:tabs>
          <w:tab w:val="clear" w:pos="720"/>
          <w:tab w:val="left" w:pos="0" w:leader="none"/>
          <w:tab w:val="left" w:pos="1080" w:leader="none"/>
          <w:tab w:val="left" w:pos="1800" w:leader="none"/>
          <w:tab w:val="left" w:pos="2520" w:leader="none"/>
        </w:tabs>
        <w:suppressAutoHyphens w:val="true"/>
        <w:spacing w:lineRule="auto" w:line="233" w:before="0" w:after="120"/>
        <w:ind w:hanging="36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Negotiated an agreement to purchase the gas distribution system of the City of Corpus Christi, Texas.  The company elected not to proceed with this acquisition after Mr. Dubay negotiated the agreement to acquire Missouri Gas Energy.</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u w:val="single"/>
        </w:rPr>
        <w:t>SENIOR VICE PRESIDENT, CHIEF FINANCIAL OFFICER</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1986 to 1989</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Reported to the Chief Executive Oficer, Mr. Dubay was responsible for the financial reporting, accounting, tax and personnel functions for Southern Union Company.</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u w:val="single"/>
        </w:rPr>
        <w:t>AUDIT MANAGER</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1981 to 1986</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t>TOUCHE ROSS &amp; CO.</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Dallas, Texas</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1977 to 1981</w:t>
      </w:r>
    </w:p>
    <w:p>
      <w:pPr>
        <w:pStyle w:val="Normal"/>
        <w:jc w:val="both"/>
        <w:rPr>
          <w:rFonts w:ascii="Book Antiqua" w:hAnsi="Book Antiqua" w:eastAsia="Book Antiqua" w:cs="Book Antiqua"/>
          <w:b/>
          <w:bCs/>
          <w:spacing w:val="-2"/>
          <w:sz w:val="24"/>
          <w:szCs w:val="24"/>
          <w:u w:val="single"/>
        </w:rPr>
      </w:pPr>
      <w:r>
        <w:rPr>
          <w:rFonts w:eastAsia="Book Antiqua" w:cs="Book Antiqua" w:ascii="Book Antiqua" w:hAnsi="Book Antiqua"/>
          <w:b/>
          <w:bCs/>
          <w:spacing w:val="-2"/>
          <w:sz w:val="24"/>
          <w:szCs w:val="24"/>
          <w:u w:val="single"/>
        </w:rPr>
      </w:r>
    </w:p>
    <w:p>
      <w:pPr>
        <w:pStyle w:val="Normal"/>
        <w:jc w:val="both"/>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r>
    </w:p>
    <w:p>
      <w:pPr>
        <w:pStyle w:val="Normal"/>
        <w:jc w:val="both"/>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t>COMPENSATION</w:t>
      </w:r>
    </w:p>
    <w:p>
      <w:pPr>
        <w:pStyle w:val="Normal"/>
        <w:jc w:val="both"/>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Mr. Dubay reports that in 1998, he received total cash compensation of $411,133.</w:t>
      </w:r>
    </w:p>
    <w:p>
      <w:pPr>
        <w:pStyle w:val="Mainhdr"/>
        <w:spacing w:before="0" w:after="6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2304"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w:charset w:val="00" w:characterSet="ibm850"/>
    <w:family w:val="roman"/>
    <w:pitch w:val="variable"/>
  </w:font>
  <w:font w:name="Arial">
    <w:charset w:val="01"/>
    <w:family w:val="swiss"/>
    <w:pitch w:val="variable"/>
  </w:font>
  <w:font w:name="Times New Roman">
    <w:charset w:val="01"/>
    <w:family w:val="roman"/>
    <w:pitch w:val="variable"/>
  </w:font>
  <w:font w:name="Liberation Sans">
    <w:altName w:val="Arial"/>
    <w:charset w:val="01" w:characterSet="utf-8"/>
    <w:family w:val="swiss"/>
    <w:pitch w:val="variable"/>
  </w:font>
  <w:font w:name="Book Antiqua">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Book Antiqua" w:hAnsi="Book Antiqua" w:eastAsia="Book Antiqua" w:cs="Book Antiqua"/>
        <w:b/>
        <w:bCs/>
        <w:sz w:val="20"/>
        <w:szCs w:val="20"/>
      </w:rPr>
    </w:pPr>
    <w:r>
      <w:rPr>
        <w:rFonts w:eastAsia="Book Antiqua" w:cs="Book Antiqua" w:ascii="Book Antiqua" w:hAnsi="Book Antiqua"/>
        <w:b/>
        <w:bCs/>
        <w:sz w:val="20"/>
        <w:szCs w:val="20"/>
      </w:rPr>
    </w:r>
  </w:p>
  <w:p>
    <w:pPr>
      <w:pStyle w:val="Header"/>
      <w:jc w:val="end"/>
      <w:rPr>
        <w:rFonts w:ascii="Book Antiqua" w:hAnsi="Book Antiqua" w:eastAsia="Book Antiqua" w:cs="Book Antiqua"/>
        <w:b/>
        <w:bCs/>
        <w:sz w:val="20"/>
        <w:szCs w:val="20"/>
      </w:rPr>
    </w:pPr>
    <w:r>
      <w:rPr>
        <w:rFonts w:eastAsia="Book Antiqua" w:cs="Book Antiqua" w:ascii="Book Antiqua" w:hAnsi="Book Antiqua"/>
        <w:b/>
        <w:bCs/>
        <w:sz w:val="20"/>
        <w:szCs w:val="20"/>
      </w:rPr>
    </w:r>
  </w:p>
  <w:p>
    <w:pPr>
      <w:pStyle w:val="Header"/>
      <w:jc w:val="end"/>
      <w:rPr>
        <w:rFonts w:ascii="Book Antiqua" w:hAnsi="Book Antiqua" w:eastAsia="Book Antiqua" w:cs="Book Antiqua"/>
        <w:b/>
        <w:bCs/>
        <w:sz w:val="20"/>
        <w:szCs w:val="20"/>
      </w:rPr>
    </w:pPr>
    <w:r>
      <w:rPr>
        <w:rFonts w:eastAsia="Book Antiqua" w:cs="Book Antiqua" w:ascii="Book Antiqua" w:hAnsi="Book Antiqua"/>
        <w:b/>
        <w:bCs/>
        <w:sz w:val="20"/>
        <w:szCs w:val="20"/>
      </w:rPr>
      <w:t>Eugene N. Dubay</w:t>
    </w:r>
  </w:p>
  <w:p>
    <w:pPr>
      <w:pStyle w:val="Header"/>
      <w:jc w:val="end"/>
      <w:rPr>
        <w:rStyle w:val="PageNumber"/>
        <w:rFonts w:ascii="Book Antiqua" w:hAnsi="Book Antiqua" w:eastAsia="Book Antiqua" w:cs="Book Antiqua"/>
        <w:b/>
        <w:bCs/>
        <w:sz w:val="20"/>
        <w:szCs w:val="20"/>
      </w:rPr>
    </w:pPr>
    <w:r>
      <w:rPr>
        <w:rFonts w:eastAsia="Book Antiqua" w:cs="Book Antiqua" w:ascii="Book Antiqua" w:hAnsi="Book Antiqua"/>
        <w:b/>
        <w:bCs/>
        <w:sz w:val="20"/>
        <w:szCs w:val="20"/>
      </w:rPr>
      <w:t xml:space="preserve">Page </w:t>
    </w:r>
    <w:r>
      <w:rPr>
        <w:rStyle w:val="PageNumber"/>
        <w:rFonts w:eastAsia="Book Antiqua" w:cs="Book Antiqua" w:ascii="Book Antiqua" w:hAnsi="Book Antiqua"/>
        <w:b/>
        <w:bCs/>
        <w:sz w:val="20"/>
        <w:szCs w:val="20"/>
      </w:rPr>
      <w:fldChar w:fldCharType="begin"/>
    </w:r>
    <w:r>
      <w:rPr>
        <w:rStyle w:val="PageNumber"/>
        <w:sz w:val="20"/>
        <w:b/>
        <w:szCs w:val="20"/>
        <w:bCs/>
        <w:rFonts w:eastAsia="Book Antiqua" w:cs="Book Antiqua" w:ascii="Book Antiqua" w:hAnsi="Book Antiqua"/>
      </w:rPr>
      <w:instrText xml:space="preserve"> PAGE </w:instrText>
    </w:r>
    <w:r>
      <w:rPr>
        <w:rStyle w:val="PageNumber"/>
        <w:sz w:val="20"/>
        <w:b/>
        <w:szCs w:val="20"/>
        <w:bCs/>
        <w:rFonts w:eastAsia="Book Antiqua" w:cs="Book Antiqua" w:ascii="Book Antiqua" w:hAnsi="Book Antiqua"/>
      </w:rPr>
      <w:fldChar w:fldCharType="separate"/>
    </w:r>
    <w:r>
      <w:rPr>
        <w:rStyle w:val="PageNumber"/>
        <w:sz w:val="20"/>
        <w:b/>
        <w:szCs w:val="20"/>
        <w:bCs/>
        <w:rFonts w:eastAsia="Book Antiqua" w:cs="Book Antiqua" w:ascii="Book Antiqua" w:hAnsi="Book Antiqua"/>
      </w:rPr>
      <w:t>4</w:t>
    </w:r>
    <w:r>
      <w:rPr>
        <w:rStyle w:val="PageNumber"/>
        <w:sz w:val="20"/>
        <w:b/>
        <w:szCs w:val="20"/>
        <w:bCs/>
        <w:rFonts w:eastAsia="Book Antiqua" w:cs="Book Antiqua" w:ascii="Book Antiqua" w:hAnsi="Book Antiqua"/>
      </w:rPr>
      <w:fldChar w:fldCharType="end"/>
    </w:r>
    <w:r>
      <w:rPr>
        <w:rStyle w:val="PageNumber"/>
        <w:rFonts w:eastAsia="Book Antiqua" w:cs="Book Antiqua" w:ascii="Book Antiqua" w:hAnsi="Book Antiqua"/>
        <w:b/>
        <w:bCs/>
        <w:sz w:val="20"/>
        <w:szCs w:val="20"/>
      </w:rPr>
      <w:t xml:space="preserve"> of </w:t>
    </w:r>
    <w:r>
      <w:fldChar w:fldCharType="begin"/>
    </w:r>
    <w:r>
      <w:rPr>
        <w:rStyle w:val="PageNumber"/>
        <w:sz w:val="20"/>
        <w:b/>
        <w:szCs w:val="20"/>
        <w:bCs/>
        <w:rFonts w:eastAsia="Book Antiqua" w:cs="Book Antiqua" w:ascii="Book Antiqua" w:hAnsi="Book Antiqua"/>
        <w:lang w:val="en-CA"/>
      </w:rPr>
      <w:instrText xml:space="preserve"> SECTIONPAGES </w:instrText>
    </w:r>
    <w:r>
      <w:rPr>
        <w:rStyle w:val="PageNumber"/>
        <w:rFonts w:eastAsia="Book Antiqua" w:cs="Book Antiqua" w:ascii="Book Antiqua" w:hAnsi="Book Antiqua"/>
        <w:b/>
        <w:bCs/>
        <w:sz w:val="20"/>
        <w:szCs w:val="20"/>
        <w:lang w:val="en-CA"/>
      </w:rPr>
    </w:r>
    <w:r>
      <w:rPr>
        <w:rStyle w:val="PageNumber"/>
        <w:sz w:val="20"/>
        <w:b/>
        <w:szCs w:val="20"/>
        <w:bCs/>
        <w:rFonts w:eastAsia="Book Antiqua" w:cs="Book Antiqua" w:ascii="Book Antiqua" w:hAnsi="Book Antiqua"/>
        <w:lang w:val="en-CA"/>
      </w:rPr>
      <w:fldChar w:fldCharType="separate"/>
    </w:r>
    <w:r>
      <w:rPr>
        <w:rStyle w:val="PageNumber"/>
        <w:rFonts w:eastAsia="Book Antiqua" w:cs="Book Antiqua" w:ascii="Book Antiqua" w:hAnsi="Book Antiqua"/>
        <w:b/>
        <w:bCs/>
        <w:sz w:val="20"/>
        <w:szCs w:val="20"/>
        <w:lang w:val="en-CA"/>
      </w:rPr>
      <w:t>4</w:t>
    </w:r>
    <w:r/>
    <w:r>
      <w:rPr>
        <w:rStyle w:val="PageNumber"/>
        <w:sz w:val="20"/>
        <w:b/>
        <w:szCs w:val="20"/>
        <w:bCs/>
        <w:rFonts w:eastAsia="Book Antiqua" w:cs="Book Antiqua" w:ascii="Book Antiqua" w:hAnsi="Book Antiqua"/>
        <w:lang w:val="en-CA"/>
      </w:rPr>
      <w:fldChar w:fldCharType="end"/>
    </w:r>
    <w:r>
      <w:rPr>
        <w:rStyle w:val="PageNumber"/>
        <w:rFonts w:eastAsia="Book Antiqua" w:cs="Book Antiqua" w:ascii="Book Antiqua" w:hAnsi="Book Antiqua"/>
        <w:b/>
        <w:bCs/>
        <w:sz w:val="20"/>
        <w:szCs w:val="20"/>
        <w:lang w:val="en-CA"/>
      </w:rPr>
    </w:r>
  </w:p>
  <w:p>
    <w:pPr>
      <w:pStyle w:val="Normal"/>
      <w:tabs>
        <w:tab w:val="clear" w:pos="720"/>
        <w:tab w:val="left" w:pos="-720" w:leader="none"/>
      </w:tabs>
      <w:suppressAutoHyphens w:val="true"/>
      <w:jc w:val="end"/>
      <w:rPr>
        <w:rStyle w:val="PageNumber"/>
        <w:rFonts w:ascii="Book Antiqua" w:hAnsi="Book Antiqua" w:eastAsia="Book Antiqua" w:cs="Book Antiqua"/>
        <w:b/>
        <w:bCs/>
        <w:sz w:val="20"/>
        <w:szCs w:val="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pacing w:val="-80"/>
        <w:kern w:val="2"/>
        <w:sz w:val="216"/>
        <w:szCs w:val="216"/>
        <w:lang w:val="en-CA"/>
      </w:rPr>
    </w:pPr>
    <w:r>
      <w:rPr>
        <w:spacing w:val="-80"/>
        <w:kern w:val="2"/>
        <w:sz w:val="216"/>
        <w:szCs w:val="216"/>
        <w:lang w:val="en-CA"/>
      </w:rPr>
      <mc:AlternateContent>
        <mc:Choice Requires="wps">
          <w:drawing>
            <wp:anchor behindDoc="0" distT="0" distB="0" distL="0" distR="0" simplePos="0" locked="0" layoutInCell="1" allowOverlap="1" relativeHeight="13">
              <wp:simplePos x="0" y="0"/>
              <wp:positionH relativeFrom="column">
                <wp:posOffset>-63500</wp:posOffset>
              </wp:positionH>
              <wp:positionV relativeFrom="paragraph">
                <wp:posOffset>164465</wp:posOffset>
              </wp:positionV>
              <wp:extent cx="505460" cy="986790"/>
              <wp:effectExtent l="0" t="0" r="0" b="133985"/>
              <wp:wrapNone/>
              <wp:docPr id="1" name=""/>
              <a:graphic xmlns:a="http://schemas.openxmlformats.org/drawingml/2006/main">
                <a:graphicData uri="http://schemas.microsoft.com/office/word/2010/wordprocessingShape">
                  <wps:wsp>
                    <wps:cNvSpPr txBox="1"/>
                    <wps:spPr>
                      <a:xfrm>
                        <a:off x="0" y="0"/>
                        <a:ext cx="505440" cy="986760"/>
                      </a:xfrm>
                      <a:prstGeom prst="rect">
                        <a:avLst/>
                      </a:prstGeom>
                      <a:noFill/>
                      <a:ln w="0">
                        <a:noFill/>
                      </a:ln>
                    </wps:spPr>
                    <wps:txbx>
                      <w:txbxContent>
                        <w:p>
                          <w:pPr>
                            <w:overflowPunct w:val="false"/>
                            <w:bidi w:val="0"/>
                            <w:jc w:val="center"/>
                            <w:rPr/>
                          </w:pPr>
                          <w:r>
                            <w:rPr>
                              <w:kern w:val="2"/>
                              <w:sz w:val="22"/>
                              <w:szCs w:val="22"/>
                              <w:rFonts w:ascii="Book Antiqua" w:hAnsi="Book Antiqua" w:eastAsia="Book Antiqua" w:cs="Book Antiqua"/>
                              <w:color w:val="auto"/>
                              <w:lang w:val="en-US"/>
                            </w:rPr>
                            <w:t>KORN/FERRY INTERNATIONAL</w:t>
                          </w:r>
                        </w:p>
                        <w:p>
                          <w:pPr>
                            <w:overflowPunct w:val="false"/>
                            <w:bidi w:val="0"/>
                            <w:rPr/>
                          </w:pPr>
                          <w:r>
                            <w:rPr>
                              <w:szCs w:val="24"/>
                              <w:kern w:val="2"/>
                              <w:sz w:val="24"/>
                              <w:rFonts w:cs="NotoSans NF" w:eastAsia="Liberation Sans" w:ascii="Liberation Serif" w:hAnsi="Liberation Serif"/>
                              <w:lang w:val="en-CA"/>
                            </w:rPr>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5pt;margin-top:12.95pt;width:39.75pt;height:77.65pt;mso-wrap-style:square;v-text-anchor:top" type="_x0000_t202">
              <v:textbox>
                <w:txbxContent>
                  <w:p>
                    <w:pPr>
                      <w:overflowPunct w:val="false"/>
                      <w:bidi w:val="0"/>
                      <w:jc w:val="center"/>
                      <w:rPr/>
                    </w:pPr>
                    <w:r>
                      <w:rPr>
                        <w:kern w:val="2"/>
                        <w:sz w:val="22"/>
                        <w:szCs w:val="22"/>
                        <w:rFonts w:ascii="Book Antiqua" w:hAnsi="Book Antiqua" w:eastAsia="Book Antiqua" w:cs="Book Antiqua"/>
                        <w:color w:val="auto"/>
                        <w:lang w:val="en-US"/>
                      </w:rPr>
                      <w:t>KORN/FERRY INTERNATIONAL</w:t>
                    </w:r>
                  </w:p>
                  <w:p>
                    <w:pPr>
                      <w:overflowPunct w:val="false"/>
                      <w:bidi w:val="0"/>
                      <w:rPr/>
                    </w:pPr>
                    <w:r>
                      <w:rPr>
                        <w:szCs w:val="24"/>
                        <w:kern w:val="2"/>
                        <w:sz w:val="24"/>
                        <w:rFonts w:cs="NotoSans NF" w:eastAsia="Liberation Sans" w:ascii="Liberation Serif" w:hAnsi="Liberation Serif"/>
                        <w:lang w:val="en-CA"/>
                      </w:rPr>
                    </w:r>
                  </w:p>
                </w:txbxContent>
              </v:textbox>
              <v:fill o:detectmouseclick="t" on="false"/>
              <v:stroke color="#3465a4" joinstyle="round" endcap="flat"/>
              <w10:wrap type="none"/>
            </v:shape>
          </w:pict>
        </mc:Fallback>
      </mc:AlternateContent>
      <w:drawing>
        <wp:inline distT="0" distB="0" distL="0" distR="0">
          <wp:extent cx="477520" cy="69532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37606" t="-37511" r="-29606" b="-30343"/>
                  <a:stretch>
                    <a:fillRect/>
                  </a:stretch>
                </pic:blipFill>
                <pic:spPr bwMode="auto">
                  <a:xfrm>
                    <a:off x="0" y="0"/>
                    <a:ext cx="477520" cy="695325"/>
                  </a:xfrm>
                  <a:prstGeom prst="rect">
                    <a:avLst/>
                  </a:prstGeom>
                  <a:noFill/>
                </pic:spPr>
              </pic:pic>
            </a:graphicData>
          </a:graphic>
        </wp:inline>
      </w:drawing>
      <mc:AlternateContent>
        <mc:Choice Requires="wps">
          <w:drawing>
            <wp:anchor behindDoc="0" distT="0" distB="0" distL="0" distR="0" simplePos="0" locked="0" layoutInCell="1" allowOverlap="1" relativeHeight="9">
              <wp:simplePos x="0" y="0"/>
              <wp:positionH relativeFrom="column">
                <wp:posOffset>-1097280</wp:posOffset>
              </wp:positionH>
              <wp:positionV relativeFrom="paragraph">
                <wp:posOffset>274320</wp:posOffset>
              </wp:positionV>
              <wp:extent cx="7706360" cy="210185"/>
              <wp:effectExtent l="0" t="0" r="0" b="0"/>
              <wp:wrapNone/>
              <wp:docPr id="3" name=""/>
              <a:graphic xmlns:a="http://schemas.openxmlformats.org/drawingml/2006/main">
                <a:graphicData uri="http://schemas.microsoft.com/office/word/2010/wordprocessingShape">
                  <wps:wsp>
                    <wps:cNvSpPr txBox="1"/>
                    <wps:spPr>
                      <a:xfrm>
                        <a:off x="0" y="0"/>
                        <a:ext cx="7706520" cy="210240"/>
                      </a:xfrm>
                      <a:prstGeom prst="rect">
                        <a:avLst/>
                      </a:prstGeom>
                      <a:noFill/>
                      <a:ln w="0">
                        <a:noFill/>
                      </a:ln>
                    </wps:spPr>
                    <wps:bodyPr/>
                  </wps:wsp>
                </a:graphicData>
              </a:graphic>
            </wp:anchor>
          </w:drawing>
        </mc:Choice>
        <mc:Fallback>
          <w:pict>
            <v:shape id="shape_0" stroked="f" o:allowincell="f" style="position:absolute;margin-left:-86.4pt;margin-top:21.6pt;width:606.75pt;height:16.5pt;mso-wrap-style:none;v-text-anchor:middle" type="_x0000_t202">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17">
              <wp:simplePos x="0" y="0"/>
              <wp:positionH relativeFrom="column">
                <wp:posOffset>-1188720</wp:posOffset>
              </wp:positionH>
              <wp:positionV relativeFrom="paragraph">
                <wp:posOffset>548640</wp:posOffset>
              </wp:positionV>
              <wp:extent cx="7820025" cy="0"/>
              <wp:effectExtent l="3175" t="3175" r="3175" b="3175"/>
              <wp:wrapNone/>
              <wp:docPr id="4" name=""/>
              <a:graphic xmlns:a="http://schemas.openxmlformats.org/drawingml/2006/main">
                <a:graphicData uri="http://schemas.microsoft.com/office/word/2010/wordprocessingShape">
                  <wps:wsp>
                    <wps:cNvSpPr/>
                    <wps:spPr>
                      <a:xfrm>
                        <a:off x="0" y="0"/>
                        <a:ext cx="78199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93.6pt,43.2pt" to="522.1pt,43.2pt" stroked="t" o:allowincell="f" style="position:absolute">
              <v:stroke color="black" weight="6480" joinstyle="round" endcap="flat"/>
              <v:fill o:detectmouseclick="t" on="false"/>
              <w10:wrap type="none"/>
            </v:lin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pacing w:val="-80"/>
        <w:kern w:val="2"/>
        <w:sz w:val="216"/>
        <w:szCs w:val="216"/>
        <w:lang w:val="en-CA"/>
      </w:rPr>
    </w:pPr>
    <w:r>
      <w:rPr>
        <w:spacing w:val="-80"/>
        <w:kern w:val="2"/>
        <w:sz w:val="216"/>
        <w:szCs w:val="216"/>
        <w:lang w:val="en-CA"/>
      </w:rPr>
      <w:drawing>
        <wp:inline distT="0" distB="0" distL="0" distR="0">
          <wp:extent cx="477520" cy="69532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rcRect l="-37606" t="-37511" r="-29606" b="-30343"/>
                  <a:stretch>
                    <a:fillRect/>
                  </a:stretch>
                </pic:blipFill>
                <pic:spPr bwMode="auto">
                  <a:xfrm>
                    <a:off x="0" y="0"/>
                    <a:ext cx="477520" cy="695325"/>
                  </a:xfrm>
                  <a:prstGeom prst="rect">
                    <a:avLst/>
                  </a:prstGeom>
                  <a:noFill/>
                </pic:spPr>
              </pic:pic>
            </a:graphicData>
          </a:graphic>
        </wp:inline>
      </w:drawing>
      <mc:AlternateContent>
        <mc:Choice Requires="wps">
          <w:drawing>
            <wp:anchor behindDoc="0" distT="0" distB="0" distL="0" distR="0" simplePos="0" locked="0" layoutInCell="1" allowOverlap="1" relativeHeight="6">
              <wp:simplePos x="0" y="0"/>
              <wp:positionH relativeFrom="column">
                <wp:posOffset>-1097280</wp:posOffset>
              </wp:positionH>
              <wp:positionV relativeFrom="paragraph">
                <wp:posOffset>274320</wp:posOffset>
              </wp:positionV>
              <wp:extent cx="7706360" cy="210185"/>
              <wp:effectExtent l="0" t="0" r="0" b="0"/>
              <wp:wrapNone/>
              <wp:docPr id="6" name=""/>
              <a:graphic xmlns:a="http://schemas.openxmlformats.org/drawingml/2006/main">
                <a:graphicData uri="http://schemas.microsoft.com/office/word/2010/wordprocessingShape">
                  <wps:wsp>
                    <wps:cNvSpPr txBox="1"/>
                    <wps:spPr>
                      <a:xfrm>
                        <a:off x="0" y="0"/>
                        <a:ext cx="7706520" cy="210240"/>
                      </a:xfrm>
                      <a:prstGeom prst="rect">
                        <a:avLst/>
                      </a:prstGeom>
                      <a:noFill/>
                      <a:ln w="0">
                        <a:noFill/>
                      </a:ln>
                    </wps:spPr>
                    <wps:bodyPr/>
                  </wps:wsp>
                </a:graphicData>
              </a:graphic>
            </wp:anchor>
          </w:drawing>
        </mc:Choice>
        <mc:Fallback>
          <w:pict>
            <v:shape id="shape_0" stroked="f" o:allowincell="f" style="position:absolute;margin-left:-86.4pt;margin-top:21.6pt;width:606.75pt;height:16.5pt;mso-wrap-style:none;v-text-anchor:middle" type="_x0000_t202">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14">
              <wp:simplePos x="0" y="0"/>
              <wp:positionH relativeFrom="column">
                <wp:posOffset>-1188720</wp:posOffset>
              </wp:positionH>
              <wp:positionV relativeFrom="paragraph">
                <wp:posOffset>548640</wp:posOffset>
              </wp:positionV>
              <wp:extent cx="7820025" cy="0"/>
              <wp:effectExtent l="3175" t="3175" r="3175" b="3175"/>
              <wp:wrapNone/>
              <wp:docPr id="7" name=""/>
              <a:graphic xmlns:a="http://schemas.openxmlformats.org/drawingml/2006/main">
                <a:graphicData uri="http://schemas.microsoft.com/office/word/2010/wordprocessingShape">
                  <wps:wsp>
                    <wps:cNvSpPr/>
                    <wps:spPr>
                      <a:xfrm>
                        <a:off x="0" y="0"/>
                        <a:ext cx="78199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93.6pt,43.2pt" to="522.1pt,43.2pt" stroked="t" o:allowincell="f" style="position:absolute">
              <v:stroke color="black" weight="6480" joinstyle="round"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revisionView w:insDel="0" w:formatting="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Roman" w:hAnsi="Roman" w:eastAsia="Roman" w:cs="Roman"/>
      <w:color w:val="auto"/>
      <w:sz w:val="25"/>
      <w:szCs w:val="25"/>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eastAsia="Arial" w:cs="Arial"/>
      <w:b/>
      <w:bCs/>
      <w:kern w:val="2"/>
      <w:sz w:val="28"/>
      <w:szCs w:val="28"/>
    </w:rPr>
  </w:style>
  <w:style w:type="paragraph" w:styleId="Heading2">
    <w:name w:val="heading 2"/>
    <w:basedOn w:val="Normal"/>
    <w:next w:val="Normal"/>
    <w:qFormat/>
    <w:pPr>
      <w:keepNext w:val="true"/>
      <w:widowControl w:val="false"/>
      <w:numPr>
        <w:ilvl w:val="1"/>
        <w:numId w:val="1"/>
      </w:numPr>
      <w:outlineLvl w:val="1"/>
    </w:pPr>
    <w:rPr>
      <w:rFonts w:ascii="Times New Roman" w:hAnsi="Times New Roman" w:eastAsia="Times New Roman" w:cs="Times New Roman"/>
      <w:sz w:val="24"/>
      <w:szCs w:val="24"/>
      <w:lang w:val="en-AU"/>
    </w:rPr>
  </w:style>
  <w:style w:type="paragraph" w:styleId="Heading5">
    <w:name w:val="heading 5"/>
    <w:basedOn w:val="Normal"/>
    <w:next w:val="Normal"/>
    <w:qFormat/>
    <w:pPr>
      <w:keepNext w:val="true"/>
      <w:widowControl w:val="false"/>
      <w:numPr>
        <w:ilvl w:val="4"/>
        <w:numId w:val="1"/>
      </w:numPr>
      <w:outlineLvl w:val="4"/>
    </w:pPr>
    <w:rPr>
      <w:rFonts w:ascii="Times New Roman" w:hAnsi="Times New Roman" w:eastAsia="Times New Roman" w:cs="Times New Roman"/>
      <w:b/>
      <w:bCs/>
      <w:sz w:val="24"/>
      <w:szCs w:val="24"/>
      <w:lang w:val="en-AU"/>
    </w:rPr>
  </w:style>
  <w:style w:type="paragraph" w:styleId="Heading6">
    <w:name w:val="heading 6"/>
    <w:basedOn w:val="Normal"/>
    <w:next w:val="Normal"/>
    <w:qFormat/>
    <w:pPr>
      <w:keepNext w:val="true"/>
      <w:widowControl w:val="false"/>
      <w:numPr>
        <w:ilvl w:val="5"/>
        <w:numId w:val="1"/>
      </w:numPr>
      <w:ind w:hanging="0" w:start="720" w:end="0"/>
      <w:outlineLvl w:val="5"/>
    </w:pPr>
    <w:rPr>
      <w:rFonts w:ascii="Times New Roman" w:hAnsi="Times New Roman" w:eastAsia="Times New Roman" w:cs="Times New Roman"/>
      <w:b/>
      <w:bCs/>
      <w:i/>
      <w:iCs/>
      <w:sz w:val="24"/>
      <w:szCs w:val="24"/>
    </w:rPr>
  </w:style>
  <w:style w:type="paragraph" w:styleId="Heading7">
    <w:name w:val="heading 7"/>
    <w:basedOn w:val="Normal"/>
    <w:next w:val="Normal"/>
    <w:qFormat/>
    <w:pPr>
      <w:keepNext w:val="true"/>
      <w:widowControl w:val="false"/>
      <w:numPr>
        <w:ilvl w:val="6"/>
        <w:numId w:val="1"/>
      </w:numPr>
      <w:ind w:hanging="720" w:start="720" w:end="0"/>
      <w:jc w:val="both"/>
      <w:outlineLvl w:val="6"/>
    </w:pPr>
    <w:rPr>
      <w:rFonts w:ascii="Times New Roman" w:hAnsi="Times New Roman" w:eastAsia="Times New Roman" w:cs="Times New Roman"/>
      <w:b/>
      <w:bCs/>
      <w:i/>
      <w:iCs/>
      <w:sz w:val="24"/>
      <w:szCs w:val="24"/>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character" w:styleId="Style9">
    <w:name w:val="À&quot;_x0006_À"/>
    <w:basedOn w:val="DefaultParagraphFont"/>
    <w:qFormat/>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rFonts w:ascii="Times New Roman" w:hAnsi="Times New Roman" w:eastAsia="Times New Roman" w:cs="Times New Roman"/>
      <w:sz w:val="20"/>
      <w:szCs w:val="20"/>
    </w:rPr>
  </w:style>
  <w:style w:type="paragraph" w:styleId="List">
    <w:name w:val="List"/>
    <w:basedOn w:val="BodyText"/>
    <w:pPr/>
    <w:rPr>
      <w:rFonts w:cs="NotoSans NF"/>
    </w:rPr>
  </w:style>
  <w:style w:type="paragraph" w:styleId="Caption">
    <w:name w:val="caption"/>
    <w:basedOn w:val="Normal"/>
    <w:next w:val="Normal"/>
    <w:qFormat/>
    <w:pPr/>
    <w:rPr>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itlehdr">
    <w:name w:val="Titlehdr"/>
    <w:basedOn w:val="Normal"/>
    <w:qFormat/>
    <w:pPr>
      <w:ind w:hanging="0" w:start="1440" w:end="0"/>
    </w:pPr>
    <w:rPr>
      <w:rFonts w:ascii="Times New Roman" w:hAnsi="Times New Roman" w:eastAsia="Times New Roman" w:cs="Times New Roman"/>
      <w:sz w:val="26"/>
      <w:szCs w:val="26"/>
    </w:rPr>
  </w:style>
  <w:style w:type="paragraph" w:styleId="Comphdr">
    <w:name w:val="Comphdr"/>
    <w:basedOn w:val="Normal"/>
    <w:qFormat/>
    <w:pPr>
      <w:ind w:hanging="0" w:start="720" w:end="0"/>
    </w:pPr>
    <w:rPr>
      <w:rFonts w:ascii="Times New Roman" w:hAnsi="Times New Roman" w:eastAsia="Times New Roman" w:cs="Times New Roman"/>
      <w:sz w:val="26"/>
      <w:szCs w:val="26"/>
      <w:u w:val="single"/>
    </w:rPr>
  </w:style>
  <w:style w:type="paragraph" w:styleId="Mainhdr">
    <w:name w:val="Mainhdr"/>
    <w:basedOn w:val="Heading1"/>
    <w:qFormat/>
    <w:pPr>
      <w:numPr>
        <w:ilvl w:val="0"/>
        <w:numId w:val="0"/>
      </w:numPr>
      <w:outlineLvl w:val="9"/>
    </w:pPr>
    <w:rPr>
      <w:rFonts w:ascii="Times New Roman" w:hAnsi="Times New Roman" w:eastAsia="Times New Roman" w:cs="Times New Roman"/>
      <w:kern w:val="0"/>
      <w:sz w:val="26"/>
      <w:szCs w:val="26"/>
      <w:u w:val="single"/>
    </w:rPr>
  </w:style>
  <w:style w:type="paragraph" w:styleId="1COMPANYPARAGRAPH">
    <w:name w:val="1COMPANY PARAGRAPH"/>
    <w:basedOn w:val="Normal"/>
    <w:qFormat/>
    <w:pPr>
      <w:tabs>
        <w:tab w:val="clear" w:pos="720"/>
        <w:tab w:val="left" w:pos="-720" w:leader="none"/>
      </w:tabs>
      <w:suppressAutoHyphens w:val="true"/>
      <w:spacing w:lineRule="atLeast" w:line="280"/>
      <w:ind w:hanging="0" w:start="720" w:end="0"/>
      <w:jc w:val="both"/>
    </w:pPr>
    <w:rPr>
      <w:rFonts w:ascii="Book Antiqua" w:hAnsi="Book Antiqua" w:eastAsia="Book Antiqua" w:cs="Book Antiqua"/>
      <w:sz w:val="24"/>
      <w:szCs w:val="24"/>
    </w:rPr>
  </w:style>
  <w:style w:type="paragraph" w:styleId="1COMPANYADDRESS">
    <w:name w:val="1COMPANY ADDRESS"/>
    <w:basedOn w:val="Normal"/>
    <w:qFormat/>
    <w:pPr>
      <w:tabs>
        <w:tab w:val="clear" w:pos="720"/>
        <w:tab w:val="left" w:pos="-720" w:leader="none"/>
      </w:tabs>
      <w:suppressAutoHyphens w:val="true"/>
      <w:spacing w:lineRule="atLeast" w:line="280"/>
      <w:ind w:hanging="0" w:start="720" w:end="0"/>
      <w:jc w:val="both"/>
    </w:pPr>
    <w:rPr>
      <w:rFonts w:ascii="Book Antiqua" w:hAnsi="Book Antiqua" w:eastAsia="Book Antiqua" w:cs="Book Antiqua"/>
      <w:sz w:val="24"/>
      <w:szCs w:val="24"/>
    </w:rPr>
  </w:style>
  <w:style w:type="paragraph" w:styleId="COMPANYNAME">
    <w:name w:val="COMPANY NAME"/>
    <w:basedOn w:val="Normal"/>
    <w:qFormat/>
    <w:pPr>
      <w:ind w:hanging="0" w:start="720" w:end="0"/>
    </w:pPr>
    <w:rPr>
      <w:rFonts w:ascii="Book Antiqua" w:hAnsi="Book Antiqua" w:eastAsia="Book Antiqua" w:cs="Book Antiqua"/>
      <w:sz w:val="24"/>
      <w:szCs w:val="24"/>
      <w:u w:val="single"/>
    </w:rPr>
  </w:style>
  <w:style w:type="paragraph" w:styleId="CompanyCityandDates">
    <w:name w:val="Company City and Dates"/>
    <w:basedOn w:val="Normal"/>
    <w:qFormat/>
    <w:pPr>
      <w:ind w:hanging="0" w:start="720" w:end="0"/>
    </w:pPr>
    <w:rPr>
      <w:rFonts w:ascii="Book Antiqua" w:hAnsi="Book Antiqua" w:eastAsia="Book Antiqua" w:cs="Book Antiqua"/>
      <w:sz w:val="24"/>
      <w:szCs w:val="24"/>
    </w:rPr>
  </w:style>
  <w:style w:type="paragraph" w:styleId="BodyTextIndent2">
    <w:name w:val="Body Text Indent 2"/>
    <w:basedOn w:val="Normal"/>
    <w:qFormat/>
    <w:pPr>
      <w:widowControl w:val="false"/>
      <w:tabs>
        <w:tab w:val="clear" w:pos="720"/>
        <w:tab w:val="left" w:pos="1980" w:leader="none"/>
        <w:tab w:val="left" w:pos="2340" w:leader="none"/>
        <w:tab w:val="left" w:pos="2700" w:leader="none"/>
        <w:tab w:val="left" w:pos="7212" w:leader="none"/>
      </w:tabs>
      <w:spacing w:lineRule="exact" w:line="260"/>
      <w:ind w:hanging="1980" w:start="1980" w:end="0"/>
    </w:pPr>
    <w:rPr>
      <w:rFonts w:ascii="Book Antiqua" w:hAnsi="Book Antiqua" w:eastAsia="Book Antiqua" w:cs="Book Antiqua"/>
      <w:kern w:val="2"/>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2000-02-02T15:32:00Z</dcterms:created>
  <dc:creator>K/FI</dc:creator>
  <dc:description/>
  <dc:language>en-CA</dc:language>
  <cp:lastModifiedBy>Kevin Gaunt</cp:lastModifiedBy>
  <cp:lastPrinted>2000-02-04T23:19:00Z</cp:lastPrinted>
  <dcterms:modified xsi:type="dcterms:W3CDTF">2000-02-05T04:50:00Z</dcterms:modified>
  <cp:revision>44</cp:revision>
  <dc:subject/>
  <dc:title>Position Specification Template</dc:title>
</cp:coreProperties>
</file>