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snapToGrid w:val="false"/>
              <w:rPr>
                <w:sz w:val="22"/>
                <w:lang w:val="en-CA"/>
              </w:rPr>
            </w:pPr>
            <w:r>
              <w:rPr>
                <w:sz w:val="22"/>
                <w:lang w:val="en-CA"/>
              </w:rPr>
              <w:object w:dxaOrig="1568"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78.4pt;height:77.3pt;mso-wrap-distance-left:9.05pt;mso-wrap-distance-right:9.05pt;mso-position-horizontal-relative:margin;mso-position-vertical-relative:text" filled="f" o:ole="">
                  <v:imagedata r:id="rId3" o:title=""/>
                </v:shape>
                <o:OLEObject Type="Embed" ProgID="" ShapeID="ole_rId2" DrawAspect="Content" ObjectID="_1742010843" r:id="rId2"/>
              </w:object>
            </w:r>
          </w:p>
        </w:tc>
        <w:tc>
          <w:tcPr>
            <w:tcW w:w="4878" w:type="dxa"/>
            <w:tcBorders/>
          </w:tcPr>
          <w:p>
            <w:pPr>
              <w:pStyle w:val="Normal"/>
              <w:widowControl/>
              <w:tabs>
                <w:tab w:val="clear" w:pos="720"/>
                <w:tab w:val="left" w:pos="2412" w:leader="none"/>
              </w:tabs>
              <w:ind w:start="1962" w:end="0"/>
              <w:jc w:val="end"/>
              <w:rPr>
                <w:b/>
                <w:sz w:val="22"/>
              </w:rPr>
            </w:pPr>
            <w:r>
              <w:rPr>
                <w:b/>
                <w:sz w:val="22"/>
              </w:rPr>
              <w:t>Enron North America Corp.</w:t>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REVISED CONFIRMATION</w:t>
      </w:r>
    </w:p>
    <w:p>
      <w:pPr>
        <w:pStyle w:val="Normal"/>
        <w:rPr/>
      </w:pPr>
      <w:r>
        <w:rPr/>
      </w:r>
    </w:p>
    <w:p>
      <w:pPr>
        <w:pStyle w:val="Normal"/>
        <w:jc w:val="center"/>
        <w:rPr/>
      </w:pPr>
      <w:r>
        <w:rPr/>
        <w:t>This Revised Confirmation supersedes and replaces all prior Confirmations relating to the subject matter hereof, including the Confirmation dated as of November 30, 1999 made and entered into between the parties hereto.</w:t>
      </w:r>
    </w:p>
    <w:p>
      <w:pPr>
        <w:pStyle w:val="Normal"/>
        <w:jc w:val="center"/>
        <w:rPr/>
      </w:pPr>
      <w:r>
        <w:rPr/>
      </w:r>
    </w:p>
    <w:p>
      <w:pPr>
        <w:pStyle w:val="Normal"/>
        <w:jc w:val="center"/>
        <w:rPr/>
      </w:pPr>
      <w:r>
        <w:rPr/>
        <w:t>Revision to Effective Date, Termination Date, Calculation Periods, and Automatic Termination Provisions</w:t>
      </w:r>
    </w:p>
    <w:p>
      <w:pPr>
        <w:pStyle w:val="Normal"/>
        <w:widowControl/>
        <w:rPr>
          <w:sz w:val="22"/>
        </w:rPr>
      </w:pPr>
      <w:r>
        <w:rPr>
          <w:sz w:val="22"/>
        </w:rPr>
      </w:r>
    </w:p>
    <w:p>
      <w:pPr>
        <w:pStyle w:val="Normal"/>
        <w:widowControl/>
        <w:rPr>
          <w:sz w:val="22"/>
        </w:rPr>
      </w:pPr>
      <w:r>
        <w:rPr>
          <w:sz w:val="22"/>
        </w:rPr>
      </w:r>
    </w:p>
    <w:p>
      <w:pPr>
        <w:pStyle w:val="Normal"/>
        <w:widowControl/>
        <w:ind w:firstLine="720" w:end="0"/>
        <w:rPr>
          <w:sz w:val="22"/>
        </w:rPr>
      </w:pPr>
      <w:r>
        <w:rPr>
          <w:sz w:val="22"/>
        </w:rPr>
        <w:t>Date:</w:t>
        <w:tab/>
        <w:tab/>
        <w:tab/>
        <w:tab/>
        <w:t>February 10, 2000</w:t>
      </w:r>
    </w:p>
    <w:p>
      <w:pPr>
        <w:pStyle w:val="Normal"/>
        <w:widowControl/>
        <w:rPr>
          <w:sz w:val="22"/>
          <w:u w:val="single"/>
        </w:rPr>
      </w:pPr>
      <w:r>
        <w:rPr>
          <w:sz w:val="22"/>
          <w:u w:val="single"/>
        </w:rPr>
      </w:r>
    </w:p>
    <w:p>
      <w:pPr>
        <w:pStyle w:val="Normal"/>
        <w:widowControl/>
        <w:ind w:firstLine="720" w:end="0"/>
        <w:rPr>
          <w:sz w:val="22"/>
        </w:rPr>
      </w:pPr>
      <w:r>
        <w:rPr>
          <w:sz w:val="22"/>
        </w:rPr>
        <w:t>To:</w:t>
        <w:tab/>
        <w:tab/>
        <w:tab/>
        <w:tab/>
        <w:t>Drypers Corporation (“Party B”)</w:t>
      </w:r>
    </w:p>
    <w:p>
      <w:pPr>
        <w:pStyle w:val="Normal"/>
        <w:widowControl/>
        <w:rPr>
          <w:sz w:val="22"/>
        </w:rPr>
      </w:pPr>
      <w:r>
        <w:rPr>
          <w:sz w:val="22"/>
        </w:rPr>
      </w:r>
    </w:p>
    <w:p>
      <w:pPr>
        <w:pStyle w:val="Normal"/>
        <w:widowControl/>
        <w:ind w:firstLine="720" w:end="0"/>
        <w:rPr>
          <w:sz w:val="22"/>
        </w:rPr>
      </w:pPr>
      <w:r>
        <w:rPr>
          <w:sz w:val="22"/>
        </w:rPr>
        <w:t xml:space="preserve">Attention: </w:t>
        <w:tab/>
        <w:tab/>
        <w:tab/>
        <w:t>Grant Gamble</w:t>
      </w:r>
    </w:p>
    <w:p>
      <w:pPr>
        <w:pStyle w:val="Normal"/>
        <w:widowControl/>
        <w:rPr>
          <w:sz w:val="22"/>
        </w:rPr>
      </w:pPr>
      <w:r>
        <w:rPr>
          <w:sz w:val="22"/>
        </w:rPr>
      </w:r>
    </w:p>
    <w:p>
      <w:pPr>
        <w:pStyle w:val="Normal"/>
        <w:widowControl/>
        <w:ind w:firstLine="720" w:end="0"/>
        <w:rPr>
          <w:sz w:val="22"/>
        </w:rPr>
      </w:pPr>
      <w:r>
        <w:rPr>
          <w:sz w:val="22"/>
        </w:rPr>
        <w:t>Fax Number:</w:t>
        <w:tab/>
        <w:tab/>
        <w:tab/>
        <w:t>(713) 803-5556</w:t>
      </w:r>
    </w:p>
    <w:p>
      <w:pPr>
        <w:pStyle w:val="Normal"/>
        <w:widowControl/>
        <w:rPr>
          <w:sz w:val="22"/>
        </w:rPr>
      </w:pPr>
      <w:r>
        <w:rPr>
          <w:sz w:val="22"/>
        </w:rPr>
      </w:r>
    </w:p>
    <w:p>
      <w:pPr>
        <w:pStyle w:val="Normal"/>
        <w:widowControl/>
        <w:ind w:firstLine="720" w:end="0"/>
        <w:rPr>
          <w:sz w:val="22"/>
        </w:rPr>
      </w:pPr>
      <w:r>
        <w:rPr>
          <w:sz w:val="22"/>
        </w:rPr>
        <w:t>From:</w:t>
        <w:tab/>
        <w:tab/>
        <w:tab/>
        <w:tab/>
        <w:t>Enron North America Corp. (“Party A”)</w:t>
      </w:r>
    </w:p>
    <w:p>
      <w:pPr>
        <w:pStyle w:val="Normal"/>
        <w:widowControl/>
        <w:rPr>
          <w:sz w:val="22"/>
        </w:rPr>
      </w:pPr>
      <w:r>
        <w:rPr>
          <w:sz w:val="22"/>
        </w:rPr>
      </w:r>
    </w:p>
    <w:p>
      <w:pPr>
        <w:pStyle w:val="Normal"/>
        <w:widowControl/>
        <w:ind w:firstLine="720" w:end="0"/>
        <w:rPr>
          <w:sz w:val="22"/>
        </w:rPr>
      </w:pPr>
      <w:r>
        <w:rPr>
          <w:sz w:val="22"/>
        </w:rPr>
        <w:t>Re:</w:t>
        <w:tab/>
        <w:tab/>
        <w:tab/>
        <w:tab/>
        <w:t>Commodity Swap, ENA Deal No. N51137.1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an ISDA Master Agreement, as amended and supplemented from time to time (the “Agreement”), between you and us.  All provisions contained in the Agreement govern this Confirmation except as expressly modified below.</w:t>
      </w:r>
    </w:p>
    <w:p>
      <w:pPr>
        <w:pStyle w:val="Normal"/>
        <w:widowControl/>
        <w:jc w:val="both"/>
        <w:rPr>
          <w:sz w:val="22"/>
        </w:rPr>
      </w:pPr>
      <w:r>
        <w:rPr>
          <w:sz w:val="22"/>
        </w:rPr>
      </w:r>
    </w:p>
    <w:p>
      <w:pPr>
        <w:pStyle w:val="Norma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120,000 Metric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2,000 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Southern Bleached Kraft Fluff</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Metric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November 30,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March 1, 2000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February 28, 2005</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color w:val="000000"/>
                <w:sz w:val="22"/>
              </w:rPr>
            </w:pPr>
            <w:r>
              <w:rPr>
                <w:color w:val="000000"/>
                <w:sz w:val="22"/>
              </w:rPr>
              <w:t xml:space="preserve">(i) </w:t>
            </w:r>
            <w:r>
              <w:rPr>
                <w:sz w:val="22"/>
              </w:rPr>
              <w:t>One (1) successive three calendar month Calculation Period, with the first Calculation Period commencing on March 1, 2000 and ending on May 31, 2000.</w:t>
            </w:r>
          </w:p>
          <w:p>
            <w:pPr>
              <w:pStyle w:val="Normal"/>
              <w:widowControl/>
              <w:jc w:val="both"/>
              <w:rPr>
                <w:color w:val="000000"/>
                <w:sz w:val="22"/>
              </w:rPr>
            </w:pPr>
            <w:r>
              <w:rPr>
                <w:color w:val="000000"/>
                <w:sz w:val="22"/>
              </w:rPr>
            </w:r>
          </w:p>
          <w:p>
            <w:pPr>
              <w:pStyle w:val="Normal"/>
              <w:widowControl/>
              <w:jc w:val="both"/>
              <w:rPr>
                <w:sz w:val="22"/>
              </w:rPr>
            </w:pPr>
            <w:r>
              <w:rPr>
                <w:color w:val="000000"/>
                <w:sz w:val="22"/>
              </w:rPr>
              <w:t xml:space="preserve">(ii) Monthly periods, with the second Calculation Period commencing on June 1, 2000 and the final Calculation Period ending on </w:t>
            </w:r>
            <w:r>
              <w:rPr>
                <w:sz w:val="22"/>
              </w:rPr>
              <w:t>February 28, 2005</w:t>
            </w:r>
            <w:r>
              <w:rPr>
                <w:color w:val="000000"/>
                <w:sz w:val="22"/>
              </w:rPr>
              <w:t>.</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Party B</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$640.00 per Metric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tabs>
                <w:tab w:val="clear" w:pos="720"/>
                <w:tab w:val="left" w:pos="-90" w:leader="none"/>
              </w:tabs>
              <w:ind w:start="-90" w:end="0"/>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jc w:val="both"/>
              <w:rPr/>
            </w:pPr>
            <w:r>
              <w:rPr>
                <w:sz w:val="22"/>
              </w:rPr>
              <w:t xml:space="preserve">The Floating Price for each Calculation Period shall be the price per Metric Ton of Southern Bleached Softwood Kraft, stated in U.S. Dollars, delivered in the Southern U.S., published under the headings “Table 5: Market Pulp Price Summary:  U.S. Dollars Per Metric Ton, Transaction Prices:  Delivered to United States: Southern: BL. Kraft Fluff” in the issue of the </w:t>
            </w:r>
            <w:r>
              <w:rPr>
                <w:sz w:val="22"/>
                <w:u w:val="single"/>
              </w:rPr>
              <w:t>World Pulp Monthly</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World Pulp Monthly</w:t>
            </w:r>
            <w:r>
              <w:rPr>
                <w:sz w:val="22"/>
              </w:rPr>
              <w:t>, or any successor publication, published by Resource Information Systems, Inc. or its successor (such publication, the “</w:t>
            </w:r>
            <w:r>
              <w:rPr>
                <w:sz w:val="22"/>
                <w:u w:val="single"/>
              </w:rPr>
              <w:t>World Pulp Monthly</w:t>
            </w:r>
            <w:r>
              <w:rPr>
                <w:sz w:val="22"/>
              </w:rPr>
              <w:t>”) for the applicable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average price per Metric Ton of Northern Bleached Softwood Kraft, stated in U.S. Dollars, published under the headings: “Price Watch: Market Pulp: Grade: U.S. (delivered in East): Bleached softwood kraft: Northern (Canadian)” in the issue of </w:t>
            </w:r>
            <w:r>
              <w:rPr>
                <w:sz w:val="22"/>
                <w:u w:val="single"/>
              </w:rPr>
              <w:t>Pulp and Paper Week,</w:t>
            </w:r>
            <w:r>
              <w:rPr>
                <w:sz w:val="22"/>
              </w:rPr>
              <w:t xml:space="preserve"> or its successor publication, published by Miller Freeman Inc., or its successor, that reports prices effective on the Pricing Date for such Calculation Period, plus U.S. $60.00.</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Automatic Termination Provisions:</w:t>
            </w:r>
          </w:p>
        </w:tc>
        <w:tc>
          <w:tcPr>
            <w:tcW w:w="4788" w:type="dxa"/>
            <w:tcBorders/>
          </w:tcPr>
          <w:p>
            <w:pPr>
              <w:pStyle w:val="Normal"/>
              <w:widowControl/>
              <w:jc w:val="both"/>
              <w:rPr>
                <w:sz w:val="22"/>
              </w:rPr>
            </w:pPr>
            <w:r>
              <w:rPr>
                <w:spacing w:val="-4"/>
                <w:sz w:val="22"/>
              </w:rPr>
              <w:t xml:space="preserve">The parties hereto agree that on </w:t>
            </w:r>
            <w:r>
              <w:rPr>
                <w:b/>
                <w:color w:val="FF0000"/>
                <w:spacing w:val="-4"/>
                <w:sz w:val="22"/>
              </w:rPr>
              <w:t xml:space="preserve">May 31, 2000 </w:t>
            </w:r>
            <w:r>
              <w:rPr>
                <w:color w:val="FF0000"/>
                <w:spacing w:val="-4"/>
                <w:sz w:val="22"/>
              </w:rPr>
              <w:t>(the “Automatic Termination Date”)</w:t>
            </w:r>
            <w:r>
              <w:rPr>
                <w:b/>
                <w:color w:val="FF0000"/>
                <w:spacing w:val="-4"/>
                <w:sz w:val="22"/>
              </w:rPr>
              <w:t xml:space="preserve"> </w:t>
            </w:r>
            <w:r>
              <w:rPr>
                <w:spacing w:val="-4"/>
                <w:sz w:val="22"/>
              </w:rPr>
              <w:t xml:space="preserve">this Transaction shall terminate on such date without further action or payment required by either party; </w:t>
            </w:r>
            <w:r>
              <w:rPr>
                <w:spacing w:val="-4"/>
                <w:sz w:val="22"/>
                <w:u w:val="single"/>
              </w:rPr>
              <w:t>provided</w:t>
            </w:r>
            <w:r>
              <w:rPr>
                <w:spacing w:val="-4"/>
                <w:sz w:val="22"/>
              </w:rPr>
              <w:t xml:space="preserve">, however, on any Business Day from and including the Trade Date to and including the Automatic Termination Date, Party A may, by giving telephonic notice to Party B no later than 5:00 p.m. (CST) on such day (the “Notice Date”) designate that this Automatic Termination Provision shall not apply to this Transaction, </w:t>
            </w:r>
            <w:r>
              <w:rPr>
                <w:spacing w:val="-4"/>
                <w:sz w:val="22"/>
                <w:u w:val="single"/>
              </w:rPr>
              <w:t>provided further</w:t>
            </w:r>
            <w:r>
              <w:rPr>
                <w:spacing w:val="-4"/>
                <w:sz w:val="22"/>
              </w:rPr>
              <w:t xml:space="preserve">, however, that such notice may only be delivered by Party A if </w:t>
            </w:r>
            <w:r>
              <w:rPr>
                <w:color w:val="FF0000"/>
                <w:spacing w:val="-4"/>
                <w:sz w:val="22"/>
              </w:rPr>
              <w:t>on or before the Automatic Termination Date, Counterparty and ENA shall execute an ISDA Master Agreement and ISDA Credit Support Annex (the “Master Agreement”).</w:t>
            </w:r>
            <w:r>
              <w:rPr>
                <w:color w:val="000000"/>
                <w:spacing w:val="-4"/>
                <w:sz w:val="22"/>
                <w:lang w:eastAsia="en-US"/>
              </w:rPr>
              <w:t xml:space="preserve"> </w:t>
            </w:r>
            <w:r>
              <w:rPr>
                <w:spacing w:val="-4"/>
                <w:sz w:val="22"/>
              </w:rPr>
              <w:t>Party A shall execute a written confirmation (including by facsimile transmission) confirming the substance of such telephonic notice and deliver same to Party B one Business Day following the Notice Date, provided however, that failure to deliver such written confirmation within the specified time period shall in no way affect or suspend the validity of the telephonic notice.</w:t>
            </w:r>
          </w:p>
        </w:tc>
      </w:tr>
    </w:tbl>
    <w:p>
      <w:pPr>
        <w:pStyle w:val="Normal"/>
        <w:widowControl/>
        <w:jc w:val="both"/>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widowControl/>
        <w:jc w:val="both"/>
        <w:rPr>
          <w:sz w:val="22"/>
        </w:rPr>
      </w:pPr>
      <w:r>
        <w:rPr>
          <w:sz w:val="22"/>
        </w:rPr>
      </w:r>
    </w:p>
    <w:p>
      <w:pPr>
        <w:pStyle w:val="Normal"/>
        <w:widowControl/>
        <w:ind w:firstLine="720" w:end="0"/>
        <w:jc w:val="both"/>
        <w:rPr>
          <w:sz w:val="22"/>
        </w:rPr>
      </w:pPr>
      <w:r>
        <w:rPr>
          <w:sz w:val="22"/>
        </w:rPr>
        <w:t>Enron North America Corp. is pleased to have entered into this Transaction with you.</w:t>
      </w:r>
    </w:p>
    <w:p>
      <w:pPr>
        <w:pStyle w:val="Normal"/>
        <w:widowControl/>
        <w:ind w:firstLine="720" w:end="0"/>
        <w:jc w:val="both"/>
        <w:rPr>
          <w:sz w:val="22"/>
        </w:rPr>
      </w:pPr>
      <w:r>
        <w:rPr>
          <w:sz w:val="22"/>
        </w:rPr>
      </w:r>
    </w:p>
    <w:p>
      <w:pPr>
        <w:pStyle w:val="Normal"/>
        <w:rPr>
          <w:sz w:val="22"/>
        </w:rPr>
      </w:pPr>
      <w:r>
        <w:rPr>
          <w:sz w:val="22"/>
        </w:rPr>
      </w:r>
    </w:p>
    <w:p>
      <w:pPr>
        <w:pStyle w:val="BodyTextIndent"/>
        <w:tabs>
          <w:tab w:val="clear" w:pos="720"/>
          <w:tab w:val="left" w:pos="810" w:leader="none"/>
          <w:tab w:val="left" w:pos="4320" w:leader="none"/>
        </w:tabs>
        <w:ind w:hanging="0" w:end="0"/>
        <w:rPr/>
      </w:pPr>
      <w:r>
        <w:rPr/>
        <w:t>Sincerely,</w:t>
      </w:r>
    </w:p>
    <w:p>
      <w:pPr>
        <w:pStyle w:val="BodyTextIndent"/>
        <w:tabs>
          <w:tab w:val="clear" w:pos="720"/>
          <w:tab w:val="left" w:pos="810" w:leader="none"/>
          <w:tab w:val="left" w:pos="4320" w:leader="none"/>
        </w:tabs>
        <w:rPr/>
      </w:pPr>
      <w:r>
        <w:rPr/>
      </w:r>
    </w:p>
    <w:p>
      <w:pPr>
        <w:pStyle w:val="BodyTextIndent"/>
        <w:tabs>
          <w:tab w:val="clear" w:pos="720"/>
          <w:tab w:val="left" w:pos="810" w:leader="none"/>
          <w:tab w:val="left" w:pos="5040" w:leader="none"/>
        </w:tabs>
        <w:ind w:hanging="0" w:end="0"/>
        <w:rPr/>
      </w:pPr>
      <w:r>
        <w:rPr/>
        <w:t xml:space="preserve">Enron North America Corp. </w:t>
        <w:tab/>
        <w:t>Drypers Corporation</w:t>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s>
        <w:ind w:hanging="0" w:end="0"/>
        <w:rPr/>
      </w:pPr>
      <w:r>
        <w:rPr/>
      </w:r>
    </w:p>
    <w:p>
      <w:pPr>
        <w:pStyle w:val="BodyTextIndent"/>
        <w:tabs>
          <w:tab w:val="clear" w:pos="720"/>
          <w:tab w:val="left" w:pos="810" w:leader="none"/>
          <w:tab w:val="left" w:pos="4140" w:leader="none"/>
          <w:tab w:val="left" w:pos="5040" w:leader="none"/>
        </w:tabs>
        <w:ind w:hanging="0" w:end="0"/>
        <w:rPr/>
      </w:pPr>
      <w:r>
        <w:rPr/>
        <w:t>By: _________________________</w:t>
        <w:tab/>
        <w:tab/>
        <w:t>By:  ________________________</w:t>
        <w:tab/>
      </w:r>
    </w:p>
    <w:p>
      <w:pPr>
        <w:pStyle w:val="BodyTextIndent"/>
        <w:tabs>
          <w:tab w:val="clear" w:pos="720"/>
          <w:tab w:val="left" w:pos="810" w:leader="none"/>
          <w:tab w:val="left" w:pos="4140" w:leader="none"/>
          <w:tab w:val="left" w:pos="5040" w:leader="none"/>
        </w:tabs>
        <w:ind w:hanging="0" w:end="0"/>
        <w:rPr/>
      </w:pPr>
      <w:r>
        <w:rPr/>
        <w:t>Name: _______________________</w:t>
        <w:tab/>
        <w:tab/>
        <w:t>Name: ______________________</w:t>
      </w:r>
    </w:p>
    <w:p>
      <w:pPr>
        <w:pStyle w:val="BodyTextIndent"/>
        <w:tabs>
          <w:tab w:val="clear" w:pos="720"/>
          <w:tab w:val="left" w:pos="810" w:leader="none"/>
          <w:tab w:val="left" w:pos="4140" w:leader="none"/>
          <w:tab w:val="left" w:pos="5040" w:leader="none"/>
        </w:tabs>
        <w:ind w:hanging="0" w:end="0"/>
        <w:rPr/>
      </w:pPr>
      <w:r>
        <w:rPr/>
        <w:t>Title: ________________________</w:t>
        <w:tab/>
        <w:tab/>
        <w:t>Title: _______________________</w:t>
      </w:r>
    </w:p>
    <w:p>
      <w:pPr>
        <w:pStyle w:val="Normal"/>
        <w:widowControl/>
        <w:ind w:firstLine="720" w:end="0"/>
        <w:jc w:val="both"/>
        <w:rPr>
          <w:sz w:val="22"/>
        </w:rPr>
      </w:pPr>
      <w:r>
        <w:rPr>
          <w:sz w:val="22"/>
        </w:rPr>
      </w:r>
    </w:p>
    <w:sectPr>
      <w:headerReference w:type="default" r:id="rId4"/>
      <w:footerReference w:type="default" r:id="rId5"/>
      <w:type w:val="nextPage"/>
      <w:pgSz w:w="12240" w:h="15840"/>
      <w:pgMar w:left="1440" w:right="1440" w:gutter="0" w:header="720" w:top="1440" w:footer="518" w:bottom="90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 xml:space="preserve">Deal No.N51137.1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2000-02-11T14:19:00Z</dcterms:created>
  <dc:creator>Enron</dc:creator>
  <dc:description/>
  <dc:language>en-CA</dc:language>
  <cp:lastModifiedBy>jcyprow</cp:lastModifiedBy>
  <cp:lastPrinted>1999-12-01T08:58:00Z</cp:lastPrinted>
  <dcterms:modified xsi:type="dcterms:W3CDTF">2000-02-11T14:19:00Z</dcterms:modified>
  <cp:revision>2</cp:revision>
  <dc:subject/>
  <dc:title>[ECT LETTERHEAD]</dc:title>
</cp:coreProperties>
</file>