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Date"/>
        <w:rPr>
          <w:rFonts w:ascii="Courier" w:hAnsi="Courier" w:cs="Courier"/>
          <w:sz w:val="16"/>
        </w:rPr>
      </w:pPr>
      <w:r>
        <w:rPr>
          <w:rFonts w:cs="Courier" w:ascii="Courier" w:hAnsi="Courier"/>
          <w:sz w:val="16"/>
        </w:rPr>
      </w:r>
    </w:p>
    <w:p>
      <w:pPr>
        <w:pStyle w:val="Date"/>
        <w:rPr>
          <w:rFonts w:ascii="Courier" w:hAnsi="Courier" w:cs="Courier"/>
          <w:sz w:val="16"/>
        </w:rPr>
      </w:pPr>
      <w:r>
        <w:rPr>
          <w:rFonts w:cs="Courier" w:ascii="Courier" w:hAnsi="Courier"/>
          <w:sz w:val="16"/>
        </w:rPr>
        <w:t>May 2, 2001</w:t>
      </w:r>
    </w:p>
    <w:p>
      <w:pPr>
        <w:pStyle w:val="BodyText2"/>
        <w:rPr>
          <w:rFonts w:ascii="Courier" w:hAnsi="Courier" w:cs="Courier"/>
          <w:sz w:val="16"/>
        </w:rPr>
      </w:pPr>
      <w:r>
        <w:rPr>
          <w:rFonts w:cs="Courier"/>
          <w:sz w:val="16"/>
        </w:rPr>
      </w:r>
    </w:p>
    <w:p>
      <w:pPr>
        <w:pStyle w:val="InsideAddress"/>
        <w:ind w:end="-504"/>
        <w:rPr>
          <w:rFonts w:ascii="Courier" w:hAnsi="Courier" w:cs="Courier"/>
          <w:sz w:val="16"/>
        </w:rPr>
      </w:pPr>
      <w:r>
        <w:rPr>
          <w:rFonts w:cs="Courier" w:ascii="Courier" w:hAnsi="Courier"/>
          <w:sz w:val="16"/>
        </w:rPr>
        <w:t>Mr. Mark Whitt</w:t>
      </w:r>
    </w:p>
    <w:p>
      <w:pPr>
        <w:pStyle w:val="InsideAddress"/>
        <w:rPr>
          <w:rFonts w:ascii="Courier" w:hAnsi="Courier" w:cs="Courier"/>
          <w:sz w:val="16"/>
        </w:rPr>
      </w:pPr>
      <w:r>
        <w:rPr>
          <w:rFonts w:cs="Courier" w:ascii="Courier" w:hAnsi="Courier"/>
          <w:sz w:val="16"/>
        </w:rPr>
        <w:t>Vice President</w:t>
      </w:r>
    </w:p>
    <w:p>
      <w:pPr>
        <w:pStyle w:val="InsideAddress"/>
        <w:rPr>
          <w:rFonts w:ascii="Courier" w:hAnsi="Courier" w:cs="Courier"/>
          <w:sz w:val="16"/>
        </w:rPr>
      </w:pPr>
      <w:r>
        <w:rPr>
          <w:rFonts w:cs="Courier" w:ascii="Courier" w:hAnsi="Courier"/>
          <w:sz w:val="16"/>
        </w:rPr>
        <w:t xml:space="preserve">Enron North America Corp. </w:t>
      </w:r>
    </w:p>
    <w:p>
      <w:pPr>
        <w:pStyle w:val="InsideAddress"/>
        <w:rPr/>
      </w:pPr>
      <w:r>
        <w:rPr>
          <w:rFonts w:cs="Courier" w:ascii="Courier" w:hAnsi="Courier"/>
          <w:sz w:val="16"/>
        </w:rPr>
        <w:t>1200 17</w:t>
      </w:r>
      <w:r>
        <w:rPr>
          <w:rFonts w:cs="Courier" w:ascii="Courier" w:hAnsi="Courier"/>
          <w:sz w:val="16"/>
          <w:vertAlign w:val="superscript"/>
        </w:rPr>
        <w:t>th</w:t>
      </w:r>
      <w:r>
        <w:rPr>
          <w:rFonts w:cs="Courier" w:ascii="Courier" w:hAnsi="Courier"/>
          <w:sz w:val="16"/>
        </w:rPr>
        <w:t xml:space="preserve"> Street Suite 2750</w:t>
      </w:r>
    </w:p>
    <w:p>
      <w:pPr>
        <w:pStyle w:val="InsideAddress"/>
        <w:rPr>
          <w:rFonts w:ascii="Courier" w:hAnsi="Courier" w:cs="Courier"/>
          <w:sz w:val="16"/>
        </w:rPr>
      </w:pPr>
      <w:r>
        <w:rPr>
          <w:rFonts w:cs="Courier" w:ascii="Courier" w:hAnsi="Courier"/>
          <w:sz w:val="16"/>
        </w:rPr>
        <w:t xml:space="preserve">Denver, CO. 80202  </w:t>
      </w:r>
    </w:p>
    <w:p>
      <w:pPr>
        <w:pStyle w:val="BodyText2"/>
        <w:ind w:firstLine="720" w:end="0"/>
        <w:rPr>
          <w:rFonts w:ascii="Courier" w:hAnsi="Courier" w:cs="Courier"/>
          <w:sz w:val="16"/>
        </w:rPr>
      </w:pPr>
      <w:r>
        <w:rPr>
          <w:rFonts w:cs="Courier"/>
          <w:sz w:val="16"/>
        </w:rPr>
      </w:r>
    </w:p>
    <w:p>
      <w:pPr>
        <w:pStyle w:val="ReferenceLine"/>
        <w:rPr>
          <w:sz w:val="16"/>
        </w:rPr>
      </w:pPr>
      <w:r>
        <w:rPr>
          <w:sz w:val="16"/>
        </w:rPr>
        <w:t xml:space="preserve">Re:  MPC Dry Creek Storage  </w:t>
      </w:r>
    </w:p>
    <w:p>
      <w:pPr>
        <w:pStyle w:val="BodyText2"/>
        <w:rPr>
          <w:sz w:val="16"/>
        </w:rPr>
      </w:pPr>
      <w:r>
        <w:rPr>
          <w:sz w:val="16"/>
        </w:rPr>
      </w:r>
    </w:p>
    <w:p>
      <w:pPr>
        <w:pStyle w:val="Salutation"/>
        <w:rPr>
          <w:rFonts w:ascii="Courier" w:hAnsi="Courier" w:cs="Courier"/>
          <w:sz w:val="16"/>
        </w:rPr>
      </w:pPr>
      <w:r>
        <w:rPr>
          <w:rFonts w:cs="Courier" w:ascii="Courier" w:hAnsi="Courier"/>
          <w:sz w:val="16"/>
        </w:rPr>
        <w:t>Dear Mark:</w:t>
      </w:r>
    </w:p>
    <w:p>
      <w:pPr>
        <w:pStyle w:val="BodyText2"/>
        <w:ind w:firstLine="720" w:end="0"/>
        <w:rPr>
          <w:rFonts w:ascii="Courier" w:hAnsi="Courier" w:cs="Courier"/>
          <w:sz w:val="16"/>
        </w:rPr>
      </w:pPr>
      <w:r>
        <w:rPr>
          <w:rFonts w:cs="Courier"/>
          <w:sz w:val="16"/>
        </w:rPr>
      </w:r>
    </w:p>
    <w:p>
      <w:pPr>
        <w:pStyle w:val="WW-BodyText21"/>
        <w:ind w:end="0"/>
        <w:rPr>
          <w:sz w:val="16"/>
        </w:rPr>
      </w:pPr>
      <w:r>
        <w:rPr>
          <w:sz w:val="16"/>
        </w:rPr>
        <w:t>This letter confirms our agreement of the Interruptible Storage (IS) service MPC will provide to Enron at MPC's Dry Creek storage facility.</w:t>
      </w:r>
    </w:p>
    <w:p>
      <w:pPr>
        <w:pStyle w:val="WW-BodyText21"/>
        <w:ind w:end="0"/>
        <w:rPr>
          <w:b/>
          <w:sz w:val="16"/>
          <w:u w:val="single"/>
        </w:rPr>
      </w:pPr>
      <w:r>
        <w:rPr>
          <w:b/>
          <w:sz w:val="16"/>
          <w:u w:val="single"/>
        </w:rPr>
      </w:r>
    </w:p>
    <w:p>
      <w:pPr>
        <w:pStyle w:val="WW-BodyText21"/>
        <w:ind w:end="0"/>
        <w:rPr/>
      </w:pPr>
      <w:r>
        <w:rPr>
          <w:b/>
          <w:sz w:val="16"/>
          <w:u w:val="single"/>
        </w:rPr>
        <w:t>Quantity:</w:t>
      </w:r>
      <w:r>
        <w:rPr>
          <w:sz w:val="16"/>
        </w:rPr>
        <w:t xml:space="preserve">     </w:t>
        <w:tab/>
        <w:tab/>
        <w:t>1,000,000 dekatherms</w:t>
      </w:r>
    </w:p>
    <w:p>
      <w:pPr>
        <w:pStyle w:val="WW-BodyText21"/>
        <w:ind w:end="0"/>
        <w:rPr>
          <w:sz w:val="16"/>
        </w:rPr>
      </w:pPr>
      <w:r>
        <w:rPr>
          <w:sz w:val="16"/>
        </w:rPr>
      </w:r>
    </w:p>
    <w:p>
      <w:pPr>
        <w:pStyle w:val="WW-BodyText21"/>
        <w:ind w:end="0"/>
        <w:rPr/>
      </w:pPr>
      <w:r>
        <w:rPr>
          <w:b/>
          <w:sz w:val="16"/>
          <w:u w:val="single"/>
        </w:rPr>
        <w:t>Transportation Rates:</w:t>
      </w:r>
      <w:r>
        <w:rPr>
          <w:sz w:val="16"/>
        </w:rPr>
        <w:t xml:space="preserve">        </w:t>
      </w:r>
    </w:p>
    <w:p>
      <w:pPr>
        <w:pStyle w:val="WW-BodyText21"/>
        <w:ind w:end="0"/>
        <w:rPr>
          <w:sz w:val="16"/>
        </w:rPr>
      </w:pPr>
      <w:r>
        <w:rPr>
          <w:sz w:val="16"/>
        </w:rPr>
        <w:t xml:space="preserve">May 2001 </w:t>
        <w:tab/>
        <w:tab/>
        <w:tab/>
        <w:t>$.15 per dekatherm</w:t>
      </w:r>
    </w:p>
    <w:p>
      <w:pPr>
        <w:pStyle w:val="WW-BodyText21"/>
        <w:ind w:end="0"/>
        <w:rPr>
          <w:sz w:val="16"/>
        </w:rPr>
      </w:pPr>
      <w:r>
        <w:rPr>
          <w:sz w:val="16"/>
        </w:rPr>
        <w:t>June-September 2001</w:t>
        <w:tab/>
        <w:t xml:space="preserve">$.20 per dekatherm  </w:t>
      </w:r>
    </w:p>
    <w:p>
      <w:pPr>
        <w:pStyle w:val="WW-BodyText21"/>
        <w:ind w:end="0"/>
        <w:rPr>
          <w:sz w:val="16"/>
        </w:rPr>
      </w:pPr>
      <w:r>
        <w:rPr>
          <w:sz w:val="16"/>
        </w:rPr>
      </w:r>
    </w:p>
    <w:p>
      <w:pPr>
        <w:pStyle w:val="WW-BodyText21"/>
        <w:ind w:end="0"/>
        <w:rPr>
          <w:b/>
          <w:sz w:val="16"/>
          <w:u w:val="single"/>
        </w:rPr>
      </w:pPr>
      <w:r>
        <w:rPr>
          <w:b/>
          <w:sz w:val="16"/>
          <w:u w:val="single"/>
        </w:rPr>
        <w:t>Storage Rates:</w:t>
      </w:r>
    </w:p>
    <w:p>
      <w:pPr>
        <w:pStyle w:val="WW-BodyText21"/>
        <w:ind w:end="0"/>
        <w:rPr>
          <w:sz w:val="16"/>
        </w:rPr>
      </w:pPr>
      <w:r>
        <w:rPr>
          <w:sz w:val="16"/>
        </w:rPr>
        <w:t>Injection</w:t>
        <w:tab/>
        <w:tab/>
        <w:tab/>
        <w:t xml:space="preserve">$.023 per dekatherm </w:t>
      </w:r>
    </w:p>
    <w:p>
      <w:pPr>
        <w:pStyle w:val="WW-BodyText21"/>
        <w:ind w:end="0"/>
        <w:rPr>
          <w:sz w:val="16"/>
        </w:rPr>
      </w:pPr>
      <w:r>
        <w:rPr>
          <w:sz w:val="16"/>
        </w:rPr>
        <w:t>Withdrawal</w:t>
        <w:tab/>
        <w:tab/>
        <w:tab/>
        <w:t>$.023 per dekatherm</w:t>
      </w:r>
    </w:p>
    <w:p>
      <w:pPr>
        <w:pStyle w:val="WW-BodyText21"/>
        <w:ind w:hanging="2880" w:start="3600" w:end="0"/>
        <w:rPr>
          <w:sz w:val="16"/>
        </w:rPr>
      </w:pPr>
      <w:r>
        <w:rPr>
          <w:sz w:val="16"/>
        </w:rPr>
        <w:t xml:space="preserve">Capacity </w:t>
        <w:tab/>
        <w:t>$.022 per dekatherm based on the end of the month                                   storage balance.</w:t>
      </w:r>
    </w:p>
    <w:p>
      <w:pPr>
        <w:pStyle w:val="WW-BodyText21"/>
        <w:ind w:end="0"/>
        <w:rPr>
          <w:b/>
          <w:sz w:val="16"/>
          <w:u w:val="single"/>
        </w:rPr>
      </w:pPr>
      <w:r>
        <w:rPr>
          <w:b/>
          <w:sz w:val="16"/>
          <w:u w:val="single"/>
        </w:rPr>
        <w:t>Fuel Reimbursement:</w:t>
      </w:r>
    </w:p>
    <w:p>
      <w:pPr>
        <w:pStyle w:val="WW-BodyText21"/>
        <w:ind w:end="0"/>
        <w:rPr>
          <w:sz w:val="16"/>
        </w:rPr>
      </w:pPr>
      <w:r>
        <w:rPr>
          <w:sz w:val="16"/>
        </w:rPr>
        <w:t>Transportation</w:t>
        <w:tab/>
        <w:tab/>
        <w:t>2.46%</w:t>
      </w:r>
    </w:p>
    <w:p>
      <w:pPr>
        <w:pStyle w:val="WW-BodyText21"/>
        <w:ind w:end="0"/>
        <w:rPr>
          <w:sz w:val="16"/>
        </w:rPr>
      </w:pPr>
      <w:r>
        <w:rPr>
          <w:sz w:val="16"/>
        </w:rPr>
        <w:t>Storage</w:t>
        <w:tab/>
        <w:tab/>
        <w:tab/>
        <w:t>1.14%</w:t>
      </w:r>
    </w:p>
    <w:p>
      <w:pPr>
        <w:pStyle w:val="WW-BodyText21"/>
        <w:ind w:end="0"/>
        <w:rPr>
          <w:sz w:val="16"/>
        </w:rPr>
      </w:pPr>
      <w:r>
        <w:rPr>
          <w:sz w:val="16"/>
        </w:rPr>
      </w:r>
    </w:p>
    <w:p>
      <w:pPr>
        <w:pStyle w:val="WW-BodyText21"/>
        <w:ind w:end="0"/>
        <w:rPr/>
      </w:pPr>
      <w:r>
        <w:rPr>
          <w:b/>
          <w:sz w:val="16"/>
          <w:u w:val="single"/>
        </w:rPr>
        <w:t>Term:</w:t>
      </w:r>
      <w:r>
        <w:rPr>
          <w:sz w:val="16"/>
        </w:rPr>
        <w:tab/>
        <w:tab/>
        <w:tab/>
        <w:tab/>
        <w:t>May 1, 2001 through March 31, 2002</w:t>
        <w:tab/>
      </w:r>
    </w:p>
    <w:p>
      <w:pPr>
        <w:pStyle w:val="WW-BodyText21"/>
        <w:ind w:end="0"/>
        <w:rPr>
          <w:sz w:val="16"/>
        </w:rPr>
      </w:pPr>
      <w:r>
        <w:rPr>
          <w:sz w:val="16"/>
        </w:rPr>
      </w:r>
    </w:p>
    <w:p>
      <w:pPr>
        <w:pStyle w:val="WW-BodyText21"/>
        <w:ind w:end="0"/>
        <w:rPr/>
      </w:pPr>
      <w:r>
        <w:rPr>
          <w:b/>
          <w:sz w:val="16"/>
          <w:u w:val="single"/>
        </w:rPr>
        <w:t>Other Terms</w:t>
      </w:r>
      <w:r>
        <w:rPr>
          <w:sz w:val="16"/>
        </w:rPr>
        <w:t>:</w:t>
        <w:tab/>
        <w:tab/>
        <w:t xml:space="preserve">The injection period is May 4 through September 30, 2001.  During each month of the injection period, a daily base load injection quantity will be determined before the beginning of each month.  This volume will not exceed 10,000 dekatherms per day.  If either party changes the daily injection volume, make-up injection volumes if any, can be scheduled up to 10,000 dekatherms per day.  The withdrawal period is November 1 through March 31, 2002.  MPC anticipates IS inventory to be in the range of 2,500,000 to 3,000,000 dekatherms, the IS withdrawal capacity is projected in the 20,000 to 25,000 dekatherms per day range.  If IS nominations exceed withdrawal capacity, the capacity is allocated based on the shippers IS inventory to the total IS inventory requesting service.  During Constrained and Critical Operating Times, IS service can be totally curtailed.  Enron has no obligation to inject the full 1,000,000 dekatherms and MPC has no obligation to make the full 1,000,000 dekatherms of injection capacity available.          </w:t>
      </w:r>
    </w:p>
    <w:p>
      <w:pPr>
        <w:pStyle w:val="WW-BodyText21"/>
        <w:ind w:end="0"/>
        <w:rPr>
          <w:rFonts w:eastAsia="Courier"/>
          <w:sz w:val="16"/>
        </w:rPr>
      </w:pPr>
      <w:r>
        <w:rPr>
          <w:rFonts w:eastAsia="Courier"/>
          <w:sz w:val="16"/>
        </w:rPr>
        <w:t xml:space="preserve"> </w:t>
      </w:r>
    </w:p>
    <w:p>
      <w:pPr>
        <w:pStyle w:val="WW-BodyText21"/>
        <w:ind w:end="0"/>
        <w:rPr>
          <w:sz w:val="16"/>
        </w:rPr>
      </w:pPr>
      <w:r>
        <w:rPr>
          <w:sz w:val="16"/>
        </w:rPr>
        <w:t>We appreciate the business.  Thanks again.</w:t>
      </w:r>
    </w:p>
    <w:p>
      <w:pPr>
        <w:pStyle w:val="Closing"/>
        <w:rPr>
          <w:rFonts w:ascii="Courier" w:hAnsi="Courier" w:cs="Courier"/>
          <w:sz w:val="16"/>
        </w:rPr>
      </w:pPr>
      <w:r>
        <w:rPr>
          <w:rFonts w:cs="Courier" w:ascii="Courier" w:hAnsi="Courier"/>
          <w:sz w:val="16"/>
        </w:rPr>
      </w:r>
    </w:p>
    <w:p>
      <w:pPr>
        <w:pStyle w:val="Closing"/>
        <w:ind w:start="2880" w:end="0"/>
        <w:rPr>
          <w:rFonts w:ascii="Courier" w:hAnsi="Courier" w:cs="Courier"/>
          <w:sz w:val="16"/>
        </w:rPr>
      </w:pPr>
      <w:r>
        <w:rPr>
          <w:rFonts w:cs="Courier" w:ascii="Courier" w:hAnsi="Courier"/>
          <w:sz w:val="16"/>
        </w:rPr>
        <w:t>Sincerely,</w:t>
      </w:r>
    </w:p>
    <w:p>
      <w:pPr>
        <w:pStyle w:val="Normal"/>
        <w:ind w:firstLine="720" w:end="0"/>
        <w:jc w:val="both"/>
        <w:rPr>
          <w:rFonts w:ascii="Courier" w:hAnsi="Courier" w:cs="Courier"/>
          <w:sz w:val="16"/>
        </w:rPr>
      </w:pPr>
      <w:r>
        <w:rPr>
          <w:rFonts w:cs="Courier" w:ascii="Courier" w:hAnsi="Courier"/>
          <w:sz w:val="16"/>
        </w:rPr>
      </w:r>
    </w:p>
    <w:p>
      <w:pPr>
        <w:pStyle w:val="Normal"/>
        <w:ind w:firstLine="720" w:end="0"/>
        <w:jc w:val="both"/>
        <w:rPr>
          <w:rFonts w:ascii="Courier" w:hAnsi="Courier" w:cs="Courier"/>
          <w:sz w:val="16"/>
        </w:rPr>
      </w:pPr>
      <w:r>
        <w:rPr>
          <w:rFonts w:cs="Courier" w:ascii="Courier" w:hAnsi="Courier"/>
          <w:sz w:val="16"/>
        </w:rPr>
      </w:r>
    </w:p>
    <w:p>
      <w:pPr>
        <w:pStyle w:val="Signature"/>
        <w:ind w:start="2880" w:end="0"/>
        <w:rPr>
          <w:rFonts w:ascii="Courier" w:hAnsi="Courier" w:cs="Courier"/>
          <w:sz w:val="16"/>
        </w:rPr>
      </w:pPr>
      <w:r>
        <w:rPr>
          <w:rFonts w:cs="Courier" w:ascii="Courier" w:hAnsi="Courier"/>
          <w:sz w:val="16"/>
        </w:rPr>
        <w:t>Jim Griffin</w:t>
      </w:r>
    </w:p>
    <w:p>
      <w:pPr>
        <w:pStyle w:val="SignatureJobTitle"/>
        <w:ind w:firstLine="720" w:start="2160" w:end="0"/>
        <w:rPr>
          <w:rFonts w:ascii="Courier" w:hAnsi="Courier" w:cs="Courier"/>
          <w:sz w:val="16"/>
        </w:rPr>
      </w:pPr>
      <w:r>
        <w:rPr>
          <w:rFonts w:cs="Courier" w:ascii="Courier" w:hAnsi="Courier"/>
          <w:sz w:val="16"/>
        </w:rPr>
        <w:t>Manager, Gas Transmission Marketing</w:t>
      </w:r>
    </w:p>
    <w:p>
      <w:pPr>
        <w:pStyle w:val="SignatureJobTitle"/>
        <w:ind w:firstLine="720" w:start="2160" w:end="0"/>
        <w:rPr>
          <w:rFonts w:ascii="Courier" w:hAnsi="Courier" w:cs="Courier"/>
          <w:sz w:val="16"/>
        </w:rPr>
      </w:pPr>
      <w:r>
        <w:rPr>
          <w:rFonts w:cs="Courier" w:ascii="Courier" w:hAnsi="Courier"/>
          <w:sz w:val="16"/>
        </w:rPr>
      </w:r>
    </w:p>
    <w:p>
      <w:pPr>
        <w:pStyle w:val="SignatureJobTitle"/>
        <w:ind w:start="0" w:end="0"/>
        <w:rPr>
          <w:rFonts w:ascii="Courier" w:hAnsi="Courier" w:cs="Courier"/>
          <w:sz w:val="16"/>
        </w:rPr>
      </w:pPr>
      <w:r>
        <w:rPr>
          <w:rFonts w:cs="Courier" w:ascii="Courier" w:hAnsi="Courier"/>
          <w:sz w:val="16"/>
        </w:rPr>
        <w:t>Agreed to and Accepted:</w:t>
      </w:r>
    </w:p>
    <w:p>
      <w:pPr>
        <w:pStyle w:val="SignatureJobTitle"/>
        <w:ind w:start="0" w:end="0"/>
        <w:rPr>
          <w:rFonts w:ascii="Courier" w:hAnsi="Courier" w:cs="Courier"/>
          <w:sz w:val="16"/>
        </w:rPr>
      </w:pPr>
      <w:r>
        <w:rPr>
          <w:rFonts w:cs="Courier" w:ascii="Courier" w:hAnsi="Courier"/>
          <w:sz w:val="16"/>
        </w:rPr>
        <w:t>Enron North America Corp.</w:t>
      </w:r>
    </w:p>
    <w:p>
      <w:pPr>
        <w:pStyle w:val="SignatureJobTitle"/>
        <w:ind w:start="0" w:end="0"/>
        <w:rPr>
          <w:rFonts w:ascii="Courier" w:hAnsi="Courier" w:cs="Courier"/>
          <w:sz w:val="16"/>
        </w:rPr>
      </w:pPr>
      <w:r>
        <w:rPr>
          <w:rFonts w:cs="Courier" w:ascii="Courier" w:hAnsi="Courier"/>
          <w:sz w:val="16"/>
        </w:rPr>
      </w:r>
    </w:p>
    <w:p>
      <w:pPr>
        <w:pStyle w:val="SignatureJobTitle"/>
        <w:ind w:start="0" w:end="0"/>
        <w:rPr>
          <w:rFonts w:ascii="Courier" w:hAnsi="Courier" w:cs="Courier"/>
          <w:sz w:val="16"/>
        </w:rPr>
      </w:pPr>
      <w:r>
        <w:rPr>
          <w:rFonts w:cs="Courier" w:ascii="Courier" w:hAnsi="Courier"/>
          <w:sz w:val="16"/>
        </w:rPr>
        <w:t>By:_____________________________</w:t>
      </w:r>
    </w:p>
    <w:p>
      <w:pPr>
        <w:pStyle w:val="SignatureJobTitle"/>
        <w:ind w:start="0" w:end="0"/>
        <w:rPr>
          <w:rFonts w:ascii="Courier" w:hAnsi="Courier" w:cs="Courier"/>
          <w:sz w:val="16"/>
        </w:rPr>
      </w:pPr>
      <w:r>
        <w:rPr>
          <w:rFonts w:cs="Courier" w:ascii="Courier" w:hAnsi="Courier"/>
          <w:sz w:val="16"/>
        </w:rPr>
      </w:r>
    </w:p>
    <w:p>
      <w:pPr>
        <w:pStyle w:val="SignatureJobTitle"/>
        <w:ind w:start="0" w:end="0"/>
        <w:rPr>
          <w:rFonts w:ascii="Courier" w:hAnsi="Courier" w:cs="Courier"/>
          <w:sz w:val="16"/>
        </w:rPr>
      </w:pPr>
      <w:r>
        <w:rPr>
          <w:rFonts w:cs="Courier" w:ascii="Courier" w:hAnsi="Courier"/>
          <w:sz w:val="16"/>
        </w:rPr>
        <w:t>Date:___________________________</w:t>
      </w:r>
    </w:p>
    <w:sectPr>
      <w:footerReference w:type="default" r:id="rId2"/>
      <w:footerReference w:type="first" r:id="rId3"/>
      <w:type w:val="nextPage"/>
      <w:pgSz w:w="12240" w:h="15840"/>
      <w:pgMar w:left="720" w:right="720" w:gutter="0" w:header="0" w:top="432"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Courier" w:hAnsi="Courier" w:cs="Courier"/>
        <w:sz w:val="40"/>
      </w:rPr>
    </w:pPr>
    <w:r>
      <w:rPr>
        <w:rFonts w:cs="Courier" w:ascii="Courier" w:hAnsi="Courier"/>
        <w:sz w:val="40"/>
      </w:rPr>
    </w:r>
    <w:r>
      <mc:AlternateContent>
        <mc:Choice Requires="wps">
          <w:drawing>
            <wp:anchor behindDoc="0" distT="0" distB="0" distL="0" distR="0" simplePos="0" locked="0" layoutInCell="1" allowOverlap="1" relativeHeight="0">
              <wp:simplePos x="0" y="0"/>
              <wp:positionH relativeFrom="page">
                <wp:posOffset>3475355</wp:posOffset>
              </wp:positionH>
              <wp:positionV relativeFrom="paragraph">
                <wp:posOffset>-60325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4.75pt;mso-position-vertical-relative:text;margin-left:273.6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rFonts w:ascii="Courier" w:hAnsi="Courier" w:cs="Courier"/>
      </w:rPr>
    </w:pPr>
    <w:r>
      <w:rPr>
        <w:rFonts w:cs="Courier" w:ascii="Courier" w:hAnsi="Courier"/>
      </w:rPr>
      <w:t>x:\griff\letters\LPBypass2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Courier" w:hAnsi="Courier" w:cs="Courier"/>
      <w:b/>
      <w:sz w:val="24"/>
      <w:u w:val="single"/>
    </w:rPr>
  </w:style>
  <w:style w:type="paragraph" w:styleId="Heading2">
    <w:name w:val="heading 2"/>
    <w:basedOn w:val="Normal"/>
    <w:next w:val="Normal"/>
    <w:qFormat/>
    <w:pPr>
      <w:keepNext w:val="true"/>
      <w:numPr>
        <w:ilvl w:val="1"/>
        <w:numId w:val="1"/>
      </w:numPr>
      <w:spacing w:before="240" w:after="60"/>
      <w:outlineLvl w:val="1"/>
    </w:pPr>
    <w:rPr>
      <w:rFonts w:ascii="Arial Black" w:hAnsi="Arial Black" w:cs="Arial Black"/>
      <w:b/>
      <w:i/>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ourier" w:hAnsi="Courier" w:cs="Courier"/>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Courier" w:hAnsi="Courier" w:cs="Courie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WW-BodyText2">
    <w:name w:val="WW-Body Text 2"/>
    <w:basedOn w:val="Normal"/>
    <w:qFormat/>
    <w:pPr>
      <w:ind w:firstLine="720" w:start="0" w:end="0"/>
      <w:jc w:val="both"/>
    </w:pPr>
    <w:rPr>
      <w:sz w:val="24"/>
    </w:rPr>
  </w:style>
  <w:style w:type="paragraph" w:styleId="BodyText3">
    <w:name w:val="Body Text 3"/>
    <w:basedOn w:val="Normal"/>
    <w:qFormat/>
    <w:pPr>
      <w:ind w:hanging="0" w:start="0" w:end="-720"/>
      <w:jc w:val="both"/>
    </w:pPr>
    <w:rPr>
      <w:rFonts w:ascii="Courier" w:hAnsi="Courier" w:cs="Courier"/>
    </w:rPr>
  </w:style>
  <w:style w:type="paragraph" w:styleId="WW-BodyText21">
    <w:name w:val="WW-Body Text 21"/>
    <w:basedOn w:val="Normal"/>
    <w:qFormat/>
    <w:pPr>
      <w:ind w:firstLine="720" w:start="0" w:end="-720"/>
      <w:jc w:val="both"/>
    </w:pPr>
    <w:rPr>
      <w:rFonts w:ascii="Courier" w:hAnsi="Courier" w:cs="Courier"/>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ListBullet">
    <w:name w:val="List Bullet"/>
    <w:basedOn w:val="Normal"/>
    <w:qFormat/>
    <w:pPr>
      <w:numPr>
        <w:ilvl w:val="0"/>
        <w:numId w:val="2"/>
      </w:numPr>
      <w:tabs>
        <w:tab w:val="clear" w:pos="720"/>
        <w:tab w:val="left" w:pos="360" w:leader="none"/>
      </w:tabs>
      <w:ind w:hanging="360" w:start="360" w:end="0"/>
    </w:pPr>
    <w:rPr/>
  </w:style>
  <w:style w:type="paragraph" w:styleId="ListBullet2">
    <w:name w:val="List Bullet 2"/>
    <w:basedOn w:val="Normal"/>
    <w:qFormat/>
    <w:pPr>
      <w:numPr>
        <w:ilvl w:val="0"/>
        <w:numId w:val="3"/>
      </w:numPr>
      <w:tabs>
        <w:tab w:val="left" w:pos="720" w:leader="none"/>
      </w:tabs>
      <w:ind w:hanging="360" w:start="720" w:end="0"/>
    </w:pPr>
    <w:rPr/>
  </w:style>
  <w:style w:type="paragraph" w:styleId="InsideAddress">
    <w:name w:val="Inside Address"/>
    <w:basedOn w:val="Normal"/>
    <w:qFormat/>
    <w:pPr/>
    <w:rPr/>
  </w:style>
  <w:style w:type="paragraph" w:styleId="Signature">
    <w:name w:val="Signature"/>
    <w:basedOn w:val="Normal"/>
    <w:pPr>
      <w:ind w:hanging="0" w:start="4320" w:end="0"/>
    </w:pPr>
    <w:rPr/>
  </w:style>
  <w:style w:type="paragraph" w:styleId="AttentionLine">
    <w:name w:val="Attention Line"/>
    <w:basedOn w:val="BodyText"/>
    <w:qFormat/>
    <w:pPr/>
    <w:rPr/>
  </w:style>
  <w:style w:type="paragraph" w:styleId="SignatureJobTitle">
    <w:name w:val="Signature Job Title"/>
    <w:basedOn w:val="Signature"/>
    <w:qFormat/>
    <w:pPr/>
    <w:rPr/>
  </w:style>
  <w:style w:type="paragraph" w:styleId="ReferenceLine">
    <w:name w:val="Reference Line"/>
    <w:basedOn w:val="BodyText"/>
    <w:qFormat/>
    <w:pPr/>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2001-05-02T13:00:00Z</dcterms:created>
  <dc:creator>705864</dc:creator>
  <dc:description/>
  <dc:language>en-CA</dc:language>
  <cp:lastModifiedBy>705864</cp:lastModifiedBy>
  <cp:lastPrinted>2001-05-02T14:15:00Z</cp:lastPrinted>
  <dcterms:modified xsi:type="dcterms:W3CDTF">2001-05-02T17:45:00Z</dcterms:modified>
  <cp:revision>9</cp:revision>
  <dc:subject/>
  <dc:title>MPC is in the process of rewriting several transportation statements; the daily nomination statement and transportation invoice</dc:title>
</cp:coreProperties>
</file>