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0"/>
        </w:rPr>
      </w:pPr>
      <w:r>
        <w:rPr>
          <w:sz w:val="20"/>
        </w:rPr>
        <w:t>Bristol-Meyers Squib</w:t>
      </w:r>
    </w:p>
    <w:p>
      <w:pPr>
        <w:pStyle w:val="Normal"/>
        <w:numPr>
          <w:ilvl w:val="0"/>
          <w:numId w:val="2"/>
        </w:numPr>
        <w:tabs>
          <w:tab w:val="clear" w:pos="720"/>
        </w:tabs>
        <w:rPr>
          <w:i/>
          <w:i/>
          <w:iCs/>
          <w:sz w:val="20"/>
        </w:rPr>
      </w:pPr>
      <w:r>
        <w:rPr>
          <w:i/>
          <w:iCs/>
          <w:sz w:val="20"/>
        </w:rPr>
        <w:t>Provision for restructuring (1992)</w:t>
      </w:r>
    </w:p>
    <w:p>
      <w:pPr>
        <w:pStyle w:val="Normal"/>
        <w:rPr>
          <w:sz w:val="20"/>
        </w:rPr>
      </w:pPr>
      <w:r>
        <w:rPr>
          <w:sz w:val="20"/>
        </w:rPr>
        <w:t>Nonrecurring item, since Bristol does not have a history of “restructurings.”  Exclude from income from continuing operations (ICO).</w:t>
      </w:r>
    </w:p>
    <w:p>
      <w:pPr>
        <w:pStyle w:val="Normal"/>
        <w:rPr>
          <w:sz w:val="20"/>
        </w:rPr>
      </w:pPr>
      <w:r>
        <w:rPr>
          <w:sz w:val="20"/>
        </w:rPr>
      </w:r>
    </w:p>
    <w:p>
      <w:pPr>
        <w:pStyle w:val="Normal"/>
        <w:numPr>
          <w:ilvl w:val="0"/>
          <w:numId w:val="2"/>
        </w:numPr>
        <w:tabs>
          <w:tab w:val="clear" w:pos="720"/>
        </w:tabs>
        <w:rPr>
          <w:i/>
          <w:i/>
          <w:iCs/>
          <w:sz w:val="20"/>
        </w:rPr>
      </w:pPr>
      <w:r>
        <w:rPr>
          <w:i/>
          <w:iCs/>
          <w:sz w:val="20"/>
        </w:rPr>
        <w:t>Income and gain from discontinued operations (1991 and 1992)</w:t>
      </w:r>
    </w:p>
    <w:p>
      <w:pPr>
        <w:pStyle w:val="Normal"/>
        <w:rPr>
          <w:sz w:val="20"/>
        </w:rPr>
      </w:pPr>
      <w:r>
        <w:rPr>
          <w:sz w:val="20"/>
        </w:rPr>
        <w:t>Nonrecurring item, since Bristol has exited the household products business altogether.  Exclude from ICO.</w:t>
      </w:r>
    </w:p>
    <w:p>
      <w:pPr>
        <w:pStyle w:val="Normal"/>
        <w:rPr>
          <w:sz w:val="20"/>
        </w:rPr>
      </w:pPr>
      <w:r>
        <w:rPr>
          <w:sz w:val="20"/>
        </w:rPr>
      </w:r>
    </w:p>
    <w:p>
      <w:pPr>
        <w:pStyle w:val="Normal"/>
        <w:numPr>
          <w:ilvl w:val="0"/>
          <w:numId w:val="2"/>
        </w:numPr>
        <w:tabs>
          <w:tab w:val="clear" w:pos="720"/>
        </w:tabs>
        <w:rPr>
          <w:i/>
          <w:i/>
          <w:iCs/>
          <w:sz w:val="20"/>
        </w:rPr>
      </w:pPr>
      <w:r>
        <w:rPr>
          <w:i/>
          <w:iCs/>
          <w:sz w:val="20"/>
        </w:rPr>
        <w:t>Adoption of FAS 106 (1992)</w:t>
      </w:r>
    </w:p>
    <w:p>
      <w:pPr>
        <w:pStyle w:val="Normal"/>
        <w:rPr>
          <w:sz w:val="20"/>
        </w:rPr>
      </w:pPr>
      <w:r>
        <w:rPr>
          <w:sz w:val="20"/>
        </w:rPr>
        <w:t xml:space="preserve">Nonrecurring item, since 1) the charge represents a correction of amounts previously reported for prior years, 2) a charge this size is nonrecurring and 3) firms have flexibility regarding when they adopt the standard.  Exclude from ICO. </w:t>
      </w:r>
    </w:p>
    <w:p>
      <w:pPr>
        <w:pStyle w:val="Normal"/>
        <w:rPr>
          <w:sz w:val="20"/>
        </w:rPr>
      </w:pPr>
      <w:r>
        <w:rPr>
          <w:sz w:val="20"/>
        </w:rPr>
      </w:r>
    </w:p>
    <w:p>
      <w:pPr>
        <w:pStyle w:val="Normal"/>
        <w:numPr>
          <w:ilvl w:val="0"/>
          <w:numId w:val="2"/>
        </w:numPr>
        <w:tabs>
          <w:tab w:val="clear" w:pos="720"/>
        </w:tabs>
        <w:rPr>
          <w:i/>
          <w:i/>
          <w:iCs/>
          <w:sz w:val="20"/>
        </w:rPr>
      </w:pPr>
      <w:r>
        <w:rPr>
          <w:i/>
          <w:iCs/>
          <w:sz w:val="20"/>
        </w:rPr>
        <w:t>Special Charge for Product Liability (1993)</w:t>
      </w:r>
    </w:p>
    <w:p>
      <w:pPr>
        <w:pStyle w:val="Normal"/>
        <w:rPr>
          <w:sz w:val="20"/>
        </w:rPr>
      </w:pPr>
      <w:r>
        <w:rPr>
          <w:sz w:val="20"/>
        </w:rPr>
        <w:t>Based on the information provided in the note the liability could be recurring and therefore ought to be included in ICO.</w:t>
      </w:r>
    </w:p>
    <w:p>
      <w:pPr>
        <w:pStyle w:val="Normal"/>
        <w:rPr>
          <w:sz w:val="20"/>
        </w:rPr>
      </w:pPr>
      <w:r>
        <w:rPr>
          <w:sz w:val="20"/>
        </w:rPr>
      </w:r>
    </w:p>
    <w:p>
      <w:pPr>
        <w:pStyle w:val="Normal"/>
        <w:numPr>
          <w:ilvl w:val="0"/>
          <w:numId w:val="2"/>
        </w:numPr>
        <w:tabs>
          <w:tab w:val="clear" w:pos="720"/>
        </w:tabs>
        <w:rPr>
          <w:i/>
          <w:i/>
          <w:iCs/>
          <w:sz w:val="20"/>
        </w:rPr>
      </w:pPr>
      <w:r>
        <w:rPr>
          <w:i/>
          <w:iCs/>
          <w:sz w:val="20"/>
        </w:rPr>
        <w:t>Operating Leases</w:t>
      </w:r>
    </w:p>
    <w:p>
      <w:pPr>
        <w:pStyle w:val="Normal"/>
        <w:rPr>
          <w:sz w:val="20"/>
        </w:rPr>
      </w:pPr>
      <w:r>
        <w:rPr>
          <w:sz w:val="20"/>
        </w:rPr>
        <w:t>Operating leases are represent a recurring item and should therefore be included in ICO.</w:t>
      </w:r>
    </w:p>
    <w:p>
      <w:pPr>
        <w:pStyle w:val="Normal"/>
        <w:rPr>
          <w:sz w:val="20"/>
        </w:rPr>
      </w:pPr>
      <w:r>
        <w:rPr>
          <w:sz w:val="20"/>
        </w:rPr>
      </w:r>
    </w:p>
    <w:p>
      <w:pPr>
        <w:pStyle w:val="Normal"/>
        <w:numPr>
          <w:ilvl w:val="0"/>
          <w:numId w:val="2"/>
        </w:numPr>
        <w:tabs>
          <w:tab w:val="clear" w:pos="720"/>
        </w:tabs>
        <w:rPr>
          <w:i/>
          <w:i/>
          <w:iCs/>
          <w:sz w:val="20"/>
        </w:rPr>
      </w:pPr>
      <w:r>
        <w:rPr>
          <w:i/>
          <w:iCs/>
          <w:sz w:val="20"/>
        </w:rPr>
        <w:t>Underfunded Pension Obligation</w:t>
      </w:r>
    </w:p>
    <w:p>
      <w:pPr>
        <w:pStyle w:val="Normal"/>
        <w:rPr>
          <w:sz w:val="20"/>
        </w:rPr>
      </w:pPr>
      <w:r>
        <w:rPr>
          <w:sz w:val="20"/>
        </w:rPr>
        <w:t>From information provided, appears to be a recurring item, therefore include in ICO.</w:t>
      </w:r>
    </w:p>
    <w:p>
      <w:pPr>
        <w:pStyle w:val="Normal"/>
        <w:rPr>
          <w:sz w:val="20"/>
        </w:rPr>
      </w:pPr>
      <w:r>
        <w:rPr>
          <w:sz w:val="20"/>
        </w:rPr>
      </w:r>
    </w:p>
    <w:p>
      <w:pPr>
        <w:pStyle w:val="Normal"/>
        <w:numPr>
          <w:ilvl w:val="0"/>
          <w:numId w:val="2"/>
        </w:numPr>
        <w:tabs>
          <w:tab w:val="clear" w:pos="720"/>
        </w:tabs>
        <w:rPr>
          <w:i/>
          <w:i/>
          <w:iCs/>
          <w:sz w:val="20"/>
        </w:rPr>
      </w:pPr>
      <w:r>
        <w:rPr>
          <w:i/>
          <w:iCs/>
          <w:sz w:val="20"/>
        </w:rPr>
        <w:t>Underfunded Postretirement Benefits Obligation</w:t>
      </w:r>
    </w:p>
    <w:p>
      <w:pPr>
        <w:pStyle w:val="Normal"/>
        <w:rPr>
          <w:sz w:val="20"/>
        </w:rPr>
      </w:pPr>
      <w:r>
        <w:rPr>
          <w:sz w:val="20"/>
        </w:rPr>
        <w:t>From information provided, appears to be a recurring item, therefore include in ICO.</w:t>
      </w:r>
    </w:p>
    <w:p>
      <w:pPr>
        <w:pStyle w:val="Normal"/>
        <w:rPr>
          <w:sz w:val="20"/>
        </w:rPr>
      </w:pPr>
      <w:r>
        <w:rPr>
          <w:sz w:val="20"/>
        </w:rPr>
      </w:r>
    </w:p>
    <w:p>
      <w:pPr>
        <w:pStyle w:val="Normal"/>
        <w:rPr>
          <w:sz w:val="20"/>
        </w:rPr>
      </w:pPr>
      <w:r>
        <w:rPr>
          <w:sz w:val="20"/>
        </w:rPr>
      </w:r>
    </w:p>
    <w:p>
      <w:pPr>
        <w:pStyle w:val="Heading1"/>
        <w:ind w:hanging="0" w:start="0"/>
        <w:rPr>
          <w:sz w:val="20"/>
        </w:rPr>
      </w:pPr>
      <w:r>
        <w:rPr>
          <w:sz w:val="20"/>
        </w:rPr>
        <w:t>Merck</w:t>
      </w:r>
    </w:p>
    <w:p>
      <w:pPr>
        <w:pStyle w:val="Normal"/>
        <w:numPr>
          <w:ilvl w:val="0"/>
          <w:numId w:val="4"/>
        </w:numPr>
        <w:tabs>
          <w:tab w:val="clear" w:pos="720"/>
        </w:tabs>
        <w:rPr>
          <w:i/>
          <w:i/>
          <w:iCs/>
          <w:sz w:val="20"/>
        </w:rPr>
      </w:pPr>
      <w:r>
        <w:rPr>
          <w:i/>
          <w:iCs/>
          <w:sz w:val="20"/>
        </w:rPr>
        <w:t>Adoption of FAS 106, FAS 109, and FAS 112 (1992)</w:t>
      </w:r>
    </w:p>
    <w:p>
      <w:pPr>
        <w:pStyle w:val="Normal"/>
        <w:rPr>
          <w:sz w:val="20"/>
        </w:rPr>
      </w:pPr>
      <w:r>
        <w:rPr>
          <w:sz w:val="20"/>
        </w:rPr>
        <w:t>In concept, nonrecurring item, since 1) the charge represents a correction of amounts previously reported for prior years, 2) a charge this size is nonrecurring and 3) firms have flexibility regarding when they adopt the standard.  Thus, these items would be excluded from ICO.  (But note that the charges associated with the move to FAS 109 and 112 are arguably immaterial.)</w:t>
      </w:r>
    </w:p>
    <w:p>
      <w:pPr>
        <w:pStyle w:val="Normal"/>
        <w:rPr>
          <w:sz w:val="20"/>
        </w:rPr>
      </w:pPr>
      <w:r>
        <w:rPr>
          <w:sz w:val="20"/>
        </w:rPr>
      </w:r>
    </w:p>
    <w:p>
      <w:pPr>
        <w:pStyle w:val="Normal"/>
        <w:numPr>
          <w:ilvl w:val="0"/>
          <w:numId w:val="4"/>
        </w:numPr>
        <w:tabs>
          <w:tab w:val="clear" w:pos="720"/>
        </w:tabs>
        <w:rPr>
          <w:i/>
          <w:i/>
          <w:iCs/>
          <w:sz w:val="20"/>
        </w:rPr>
      </w:pPr>
      <w:r>
        <w:rPr>
          <w:i/>
          <w:iCs/>
          <w:sz w:val="20"/>
        </w:rPr>
        <w:t>Restructuring Charge (1993)</w:t>
      </w:r>
    </w:p>
    <w:p>
      <w:pPr>
        <w:pStyle w:val="Normal"/>
        <w:rPr>
          <w:sz w:val="20"/>
        </w:rPr>
      </w:pPr>
      <w:r>
        <w:rPr>
          <w:sz w:val="20"/>
        </w:rPr>
        <w:t>Nonrecurring item, since Merck does not have a history of “restructurings.”  Exclude from income from continuing operations (ICO).</w:t>
      </w:r>
    </w:p>
    <w:p>
      <w:pPr>
        <w:pStyle w:val="Normal"/>
        <w:rPr>
          <w:sz w:val="20"/>
        </w:rPr>
      </w:pPr>
      <w:r>
        <w:rPr>
          <w:sz w:val="20"/>
        </w:rPr>
      </w:r>
    </w:p>
    <w:p>
      <w:pPr>
        <w:pStyle w:val="Normal"/>
        <w:numPr>
          <w:ilvl w:val="0"/>
          <w:numId w:val="4"/>
        </w:numPr>
        <w:tabs>
          <w:tab w:val="clear" w:pos="720"/>
        </w:tabs>
        <w:rPr>
          <w:i/>
          <w:i/>
          <w:iCs/>
          <w:sz w:val="20"/>
        </w:rPr>
      </w:pPr>
      <w:r>
        <w:rPr>
          <w:i/>
          <w:iCs/>
          <w:sz w:val="20"/>
        </w:rPr>
        <w:t>Gain on Sale of Calgon Water Management (1993)</w:t>
      </w:r>
    </w:p>
    <w:p>
      <w:pPr>
        <w:pStyle w:val="Normal"/>
        <w:rPr>
          <w:sz w:val="20"/>
        </w:rPr>
      </w:pPr>
      <w:r>
        <w:rPr>
          <w:sz w:val="20"/>
        </w:rPr>
        <w:t>Exclude from ICO since the sale represents the discontinuation of a business that does fall within Merck’s core business, and, from the information provided, doesn’t appear to fall within the category of Joint Venture.</w:t>
      </w:r>
    </w:p>
    <w:p>
      <w:pPr>
        <w:pStyle w:val="Normal"/>
        <w:rPr>
          <w:sz w:val="20"/>
        </w:rPr>
      </w:pPr>
      <w:r>
        <w:rPr>
          <w:sz w:val="20"/>
        </w:rPr>
      </w:r>
    </w:p>
    <w:p>
      <w:pPr>
        <w:pStyle w:val="Normal"/>
        <w:numPr>
          <w:ilvl w:val="0"/>
          <w:numId w:val="4"/>
        </w:numPr>
        <w:tabs>
          <w:tab w:val="clear" w:pos="720"/>
        </w:tabs>
        <w:rPr>
          <w:i/>
          <w:i/>
          <w:iCs/>
          <w:sz w:val="20"/>
        </w:rPr>
      </w:pPr>
      <w:r>
        <w:rPr>
          <w:i/>
          <w:iCs/>
          <w:sz w:val="20"/>
        </w:rPr>
        <w:t>Acquisition of Medco (1993)</w:t>
      </w:r>
    </w:p>
    <w:p>
      <w:pPr>
        <w:pStyle w:val="Normal"/>
        <w:rPr>
          <w:sz w:val="20"/>
        </w:rPr>
      </w:pPr>
      <w:r>
        <w:rPr>
          <w:sz w:val="20"/>
        </w:rPr>
        <w:t>The item is material and, given the size of the transaction, presumably nonrecurring.  Therefore do not include in ICO.</w:t>
      </w:r>
    </w:p>
    <w:p>
      <w:pPr>
        <w:pStyle w:val="Normal"/>
        <w:rPr>
          <w:sz w:val="20"/>
        </w:rPr>
      </w:pPr>
      <w:r>
        <w:rPr>
          <w:sz w:val="20"/>
        </w:rPr>
      </w:r>
    </w:p>
    <w:p>
      <w:pPr>
        <w:pStyle w:val="Normal"/>
        <w:numPr>
          <w:ilvl w:val="0"/>
          <w:numId w:val="4"/>
        </w:numPr>
        <w:tabs>
          <w:tab w:val="clear" w:pos="720"/>
        </w:tabs>
        <w:rPr>
          <w:i/>
          <w:i/>
          <w:iCs/>
          <w:sz w:val="20"/>
        </w:rPr>
      </w:pPr>
      <w:r>
        <w:rPr>
          <w:i/>
          <w:iCs/>
          <w:sz w:val="20"/>
        </w:rPr>
        <w:t xml:space="preserve">Underfunded Pension Obligation </w:t>
      </w:r>
    </w:p>
    <w:p>
      <w:pPr>
        <w:pStyle w:val="Normal"/>
        <w:rPr>
          <w:sz w:val="20"/>
        </w:rPr>
      </w:pPr>
      <w:r>
        <w:rPr>
          <w:sz w:val="20"/>
        </w:rPr>
        <w:t>The item is recurring and material—particularly in 1993—and therefore should not be included in ICO.</w:t>
      </w:r>
    </w:p>
    <w:p>
      <w:pPr>
        <w:pStyle w:val="Normal"/>
        <w:rPr>
          <w:sz w:val="20"/>
        </w:rPr>
      </w:pPr>
      <w:r>
        <w:rPr>
          <w:sz w:val="20"/>
        </w:rPr>
      </w:r>
    </w:p>
    <w:p>
      <w:pPr>
        <w:pStyle w:val="Normal"/>
        <w:numPr>
          <w:ilvl w:val="0"/>
          <w:numId w:val="4"/>
        </w:numPr>
        <w:tabs>
          <w:tab w:val="clear" w:pos="720"/>
        </w:tabs>
        <w:rPr>
          <w:i/>
          <w:i/>
          <w:iCs/>
          <w:sz w:val="20"/>
        </w:rPr>
      </w:pPr>
      <w:r>
        <w:rPr>
          <w:i/>
          <w:iCs/>
          <w:sz w:val="20"/>
        </w:rPr>
        <w:t>Underfunded Postretirement Benefits Obligation</w:t>
      </w:r>
    </w:p>
    <w:p>
      <w:pPr>
        <w:pStyle w:val="Normal"/>
        <w:rPr>
          <w:sz w:val="20"/>
        </w:rPr>
      </w:pPr>
      <w:r>
        <w:rPr>
          <w:sz w:val="20"/>
        </w:rPr>
        <w:t>The item is recurring and material—particularly in 1993—and therefore should not be included in ICO.</w:t>
      </w:r>
    </w:p>
    <w:p>
      <w:pPr>
        <w:pStyle w:val="Normal"/>
        <w:rPr>
          <w:sz w:val="20"/>
        </w:rPr>
      </w:pPr>
      <w:r>
        <w:rPr>
          <w:sz w:val="20"/>
        </w:rPr>
      </w:r>
    </w:p>
    <w:p>
      <w:pPr>
        <w:pStyle w:val="Normal"/>
        <w:numPr>
          <w:ilvl w:val="0"/>
          <w:numId w:val="4"/>
        </w:numPr>
        <w:tabs>
          <w:tab w:val="clear" w:pos="720"/>
        </w:tabs>
        <w:rPr>
          <w:i/>
          <w:i/>
          <w:iCs/>
          <w:sz w:val="20"/>
        </w:rPr>
      </w:pPr>
      <w:r>
        <w:rPr>
          <w:i/>
          <w:iCs/>
          <w:sz w:val="20"/>
        </w:rPr>
        <w:t>Investments in Joint Venture</w:t>
      </w:r>
    </w:p>
    <w:p>
      <w:pPr>
        <w:pStyle w:val="Normal"/>
        <w:rPr>
          <w:sz w:val="20"/>
        </w:rPr>
      </w:pPr>
      <w:r>
        <w:rPr>
          <w:sz w:val="20"/>
        </w:rPr>
        <w:t>Recurring, since JVs represent an explicit strategy for growth.  Include in ICO.</w:t>
      </w:r>
    </w:p>
    <w:p>
      <w:pPr>
        <w:pStyle w:val="Normal"/>
        <w:rPr>
          <w:sz w:val="20"/>
        </w:rPr>
      </w:pPr>
      <w:r>
        <w:rPr>
          <w:sz w:val="20"/>
        </w:rPr>
      </w:r>
    </w:p>
    <w:p>
      <w:pPr>
        <w:pStyle w:val="Heading1"/>
        <w:ind w:hanging="0" w:start="0"/>
        <w:rPr>
          <w:sz w:val="20"/>
        </w:rPr>
      </w:pPr>
      <w:r>
        <w:rPr>
          <w:sz w:val="20"/>
        </w:rPr>
        <w:t>Mylan</w:t>
      </w:r>
    </w:p>
    <w:p>
      <w:pPr>
        <w:pStyle w:val="Normal"/>
        <w:numPr>
          <w:ilvl w:val="0"/>
          <w:numId w:val="3"/>
        </w:numPr>
        <w:tabs>
          <w:tab w:val="clear" w:pos="720"/>
        </w:tabs>
        <w:rPr>
          <w:i/>
          <w:i/>
          <w:iCs/>
          <w:sz w:val="20"/>
        </w:rPr>
      </w:pPr>
      <w:r>
        <w:rPr>
          <w:i/>
          <w:iCs/>
          <w:sz w:val="20"/>
        </w:rPr>
        <w:t>Acquisition of Bertek (1993)</w:t>
      </w:r>
    </w:p>
    <w:p>
      <w:pPr>
        <w:pStyle w:val="Normal"/>
        <w:rPr>
          <w:sz w:val="20"/>
        </w:rPr>
      </w:pPr>
      <w:r>
        <w:rPr>
          <w:sz w:val="20"/>
        </w:rPr>
        <w:t>The item is material and, given the size of the transaction, presumably nonrecurring.  Therefore do not include in ICO.</w:t>
      </w:r>
    </w:p>
    <w:p>
      <w:pPr>
        <w:pStyle w:val="Normal"/>
        <w:rPr>
          <w:sz w:val="20"/>
        </w:rPr>
      </w:pPr>
      <w:r>
        <w:rPr>
          <w:sz w:val="20"/>
        </w:rPr>
      </w:r>
    </w:p>
    <w:p>
      <w:pPr>
        <w:pStyle w:val="Normal"/>
        <w:numPr>
          <w:ilvl w:val="0"/>
          <w:numId w:val="3"/>
        </w:numPr>
        <w:tabs>
          <w:tab w:val="clear" w:pos="720"/>
        </w:tabs>
        <w:rPr>
          <w:i/>
          <w:i/>
          <w:iCs/>
          <w:sz w:val="20"/>
        </w:rPr>
      </w:pPr>
      <w:r>
        <w:rPr>
          <w:i/>
          <w:iCs/>
          <w:sz w:val="20"/>
        </w:rPr>
        <w:t>Adoption of FAS 109 (1994)</w:t>
      </w:r>
    </w:p>
    <w:p>
      <w:pPr>
        <w:pStyle w:val="Normal"/>
        <w:rPr>
          <w:sz w:val="20"/>
        </w:rPr>
      </w:pPr>
      <w:r>
        <w:rPr>
          <w:sz w:val="20"/>
        </w:rPr>
        <w:t xml:space="preserve">Though immaterial, exclude from ICO, since 1) the charge represents a correction of amounts previously reported for prior years, 2) a charge this size is nonrecurring and 3) firms have flexibility regarding when they adopt the standard.  </w:t>
      </w:r>
    </w:p>
    <w:p>
      <w:pPr>
        <w:pStyle w:val="Normal"/>
        <w:rPr>
          <w:sz w:val="20"/>
        </w:rPr>
      </w:pPr>
      <w:r>
        <w:rPr>
          <w:sz w:val="20"/>
        </w:rPr>
      </w:r>
    </w:p>
    <w:p>
      <w:pPr>
        <w:pStyle w:val="Normal"/>
        <w:numPr>
          <w:ilvl w:val="0"/>
          <w:numId w:val="3"/>
        </w:numPr>
        <w:tabs>
          <w:tab w:val="clear" w:pos="720"/>
        </w:tabs>
        <w:rPr>
          <w:i/>
          <w:i/>
          <w:iCs/>
          <w:sz w:val="20"/>
        </w:rPr>
      </w:pPr>
      <w:r>
        <w:rPr>
          <w:i/>
          <w:iCs/>
          <w:sz w:val="20"/>
        </w:rPr>
        <w:t>Payment in connection with death of former chairman (1994)</w:t>
      </w:r>
    </w:p>
    <w:p>
      <w:pPr>
        <w:pStyle w:val="Normal"/>
        <w:rPr>
          <w:sz w:val="20"/>
        </w:rPr>
      </w:pPr>
      <w:r>
        <w:rPr>
          <w:sz w:val="20"/>
        </w:rPr>
        <w:t>Though nonrecurring, the size of the charge is immaterial and could therefore be included in ICO.</w:t>
      </w:r>
    </w:p>
    <w:p>
      <w:pPr>
        <w:pStyle w:val="Normal"/>
        <w:rPr>
          <w:sz w:val="20"/>
        </w:rPr>
      </w:pPr>
      <w:r>
        <w:rPr>
          <w:sz w:val="20"/>
        </w:rPr>
      </w:r>
    </w:p>
    <w:p>
      <w:pPr>
        <w:pStyle w:val="Normal"/>
        <w:numPr>
          <w:ilvl w:val="0"/>
          <w:numId w:val="3"/>
        </w:numPr>
        <w:tabs>
          <w:tab w:val="clear" w:pos="720"/>
        </w:tabs>
        <w:rPr>
          <w:i/>
          <w:i/>
          <w:iCs/>
          <w:sz w:val="20"/>
        </w:rPr>
      </w:pPr>
      <w:r>
        <w:rPr>
          <w:i/>
          <w:iCs/>
          <w:sz w:val="20"/>
        </w:rPr>
        <w:t>Investments in Joint Ventures</w:t>
      </w:r>
    </w:p>
    <w:p>
      <w:pPr>
        <w:pStyle w:val="Normal"/>
        <w:rPr>
          <w:sz w:val="20"/>
        </w:rPr>
      </w:pPr>
      <w:r>
        <w:rPr>
          <w:sz w:val="20"/>
        </w:rPr>
        <w:t>Recurring, since JVs represent an explicit strategy for income and growth.  Include in ICO.</w:t>
      </w:r>
    </w:p>
    <w:p>
      <w:pPr>
        <w:pStyle w:val="Normal"/>
        <w:rPr>
          <w:sz w:val="20"/>
        </w:rPr>
      </w:pPr>
      <w:r>
        <w:rPr>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288" w:hanging="288"/>
      </w:pPr>
      <w:rPr>
        <w:rFonts w:ascii="Wingdings" w:hAnsi="Wingdings" w:cs="Wingdings" w:hint="default"/>
      </w:rPr>
    </w:lvl>
  </w:abstractNum>
  <w:abstractNum w:abstractNumId="3">
    <w:lvl w:ilvl="0">
      <w:start w:val="1"/>
      <w:numFmt w:val="bullet"/>
      <w:lvlText w:val=""/>
      <w:lvlJc w:val="start"/>
      <w:pPr>
        <w:tabs>
          <w:tab w:val="num" w:pos="360"/>
        </w:tabs>
        <w:ind w:start="288" w:hanging="288"/>
      </w:pPr>
      <w:rPr>
        <w:rFonts w:ascii="Wingdings" w:hAnsi="Wingdings" w:cs="Wingdings" w:hint="default"/>
      </w:rPr>
    </w:lvl>
  </w:abstractNum>
  <w:abstractNum w:abstractNumId="4">
    <w:lvl w:ilvl="0">
      <w:start w:val="1"/>
      <w:numFmt w:val="bullet"/>
      <w:lvlText w:val=""/>
      <w:lvlJc w:val="start"/>
      <w:pPr>
        <w:tabs>
          <w:tab w:val="num" w:pos="360"/>
        </w:tabs>
        <w:ind w:start="288" w:hanging="288"/>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i/>
      <w:iCs/>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2001-02-01T01:30:00Z</dcterms:created>
  <dc:creator>jdasovic</dc:creator>
  <dc:description/>
  <dc:language>en-CA</dc:language>
  <cp:lastModifiedBy>jdasovic</cp:lastModifiedBy>
  <dcterms:modified xsi:type="dcterms:W3CDTF">2001-02-01T02:49:00Z</dcterms:modified>
  <cp:revision>10</cp:revision>
  <dc:subject/>
  <dc:title>Bristol-Meyers Squib</dc:title>
</cp:coreProperties>
</file>