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Heading4"/>
        <w:ind w:hanging="0" w:start="0"/>
        <w:rPr>
          <w:sz w:val="24"/>
        </w:rPr>
      </w:pPr>
      <w:r>
        <w:rPr>
          <w:sz w:val="24"/>
        </w:rPr>
      </w:r>
    </w:p>
    <w:p>
      <w:pPr>
        <w:pStyle w:val="Normal"/>
        <w:rPr>
          <w:sz w:val="24"/>
        </w:rPr>
      </w:pPr>
      <w:r>
        <w:rPr>
          <w:sz w:val="24"/>
        </w:rPr>
      </w:r>
    </w:p>
    <w:p>
      <w:pPr>
        <w:pStyle w:val="Normal"/>
        <w:rPr>
          <w:sz w:val="24"/>
        </w:rPr>
      </w:pPr>
      <w:r>
        <w:rPr>
          <w:sz w:val="24"/>
        </w:rPr>
      </w:r>
    </w:p>
    <w:p>
      <w:pPr>
        <w:pStyle w:val="Heading1"/>
        <w:ind w:hanging="0" w:start="0"/>
        <w:rPr/>
      </w:pPr>
      <w:r>
        <w:rPr/>
        <w:t>September 5, 2000</w:t>
      </w:r>
    </w:p>
    <w:p>
      <w:pPr>
        <w:pStyle w:val="Normal"/>
        <w:rPr/>
      </w:pPr>
      <w:r>
        <w:rPr/>
      </w:r>
    </w:p>
    <w:p>
      <w:pPr>
        <w:pStyle w:val="Normal"/>
        <w:rPr/>
      </w:pPr>
      <w:r>
        <w:rPr/>
      </w:r>
    </w:p>
    <w:p>
      <w:pPr>
        <w:pStyle w:val="Normal"/>
        <w:jc w:val="both"/>
        <w:rPr>
          <w:sz w:val="24"/>
        </w:rPr>
      </w:pPr>
      <w:r>
        <w:rPr>
          <w:sz w:val="24"/>
        </w:rPr>
      </w:r>
    </w:p>
    <w:p>
      <w:pPr>
        <w:pStyle w:val="Normal"/>
        <w:jc w:val="both"/>
        <w:rPr>
          <w:sz w:val="24"/>
        </w:rPr>
      </w:pPr>
      <w:r>
        <w:rPr>
          <w:sz w:val="24"/>
        </w:rPr>
      </w:r>
    </w:p>
    <w:p>
      <w:pPr>
        <w:pStyle w:val="Heading2"/>
        <w:ind w:hanging="0" w:start="0"/>
        <w:rPr/>
      </w:pPr>
      <w:r>
        <w:rPr/>
        <w:t>Mr. Kent Harris</w:t>
      </w:r>
    </w:p>
    <w:p>
      <w:pPr>
        <w:pStyle w:val="Normal"/>
        <w:jc w:val="both"/>
        <w:rPr>
          <w:sz w:val="24"/>
        </w:rPr>
      </w:pPr>
      <w:r>
        <w:rPr>
          <w:sz w:val="24"/>
        </w:rPr>
        <w:t>Wildhorse Energy Partners, LLC</w:t>
      </w:r>
    </w:p>
    <w:p>
      <w:pPr>
        <w:pStyle w:val="Normal"/>
        <w:jc w:val="both"/>
        <w:rPr>
          <w:sz w:val="24"/>
        </w:rPr>
      </w:pPr>
      <w:r>
        <w:rPr>
          <w:sz w:val="24"/>
        </w:rPr>
        <w:t>P.O. Box 281304</w:t>
      </w:r>
    </w:p>
    <w:p>
      <w:pPr>
        <w:pStyle w:val="Normal"/>
        <w:jc w:val="both"/>
        <w:rPr>
          <w:sz w:val="24"/>
        </w:rPr>
      </w:pPr>
      <w:r>
        <w:rPr>
          <w:sz w:val="24"/>
        </w:rPr>
        <w:t>Lakewood, CO 80228-8304</w:t>
      </w:r>
    </w:p>
    <w:p>
      <w:pPr>
        <w:pStyle w:val="Normal"/>
        <w:jc w:val="both"/>
        <w:rPr>
          <w:sz w:val="24"/>
        </w:rPr>
      </w:pPr>
      <w:r>
        <w:rPr>
          <w:sz w:val="24"/>
        </w:rPr>
      </w:r>
    </w:p>
    <w:p>
      <w:pPr>
        <w:pStyle w:val="Normal"/>
        <w:jc w:val="both"/>
        <w:rPr>
          <w:sz w:val="24"/>
        </w:rPr>
      </w:pPr>
      <w:r>
        <w:rPr>
          <w:sz w:val="24"/>
        </w:rPr>
        <w:t>Re:</w:t>
        <w:tab/>
        <w:t>Gathering, Processing, and Transportation Agreement between Wildhorse Energy Partners, LLC (“Wildhorse”) and Crescendo Energy, LLC (“Crescendo”) as successor in interest to Enogex Exploration Corporation dated October 19, 1993, as amended on August 4, 1994 (the “Gathering Agreement”).</w:t>
      </w:r>
    </w:p>
    <w:p>
      <w:pPr>
        <w:pStyle w:val="Normal"/>
        <w:jc w:val="both"/>
        <w:rPr>
          <w:sz w:val="24"/>
        </w:rPr>
      </w:pPr>
      <w:r>
        <w:rPr>
          <w:sz w:val="24"/>
        </w:rPr>
      </w:r>
    </w:p>
    <w:p>
      <w:pPr>
        <w:pStyle w:val="Normal"/>
        <w:jc w:val="both"/>
        <w:rPr>
          <w:sz w:val="24"/>
        </w:rPr>
      </w:pPr>
      <w:r>
        <w:rPr>
          <w:sz w:val="24"/>
        </w:rPr>
        <w:t>Dear Mr. Harris:</w:t>
      </w:r>
    </w:p>
    <w:p>
      <w:pPr>
        <w:pStyle w:val="Normal"/>
        <w:jc w:val="both"/>
        <w:rPr>
          <w:sz w:val="24"/>
        </w:rPr>
      </w:pPr>
      <w:r>
        <w:rPr>
          <w:sz w:val="24"/>
        </w:rPr>
      </w:r>
    </w:p>
    <w:p>
      <w:pPr>
        <w:pStyle w:val="Normal"/>
        <w:jc w:val="both"/>
        <w:rPr>
          <w:sz w:val="24"/>
        </w:rPr>
      </w:pPr>
      <w:r>
        <w:rPr>
          <w:sz w:val="24"/>
        </w:rPr>
        <w:t>To follow up Crescendo’s previous correspondance concering our Entrada Production and our meeting of August 29, 2000 in Denver, this letter is to confirm Crescendo’s position with respect to the gathering and treating of Crescendo’s Dakota Production under the terms of the Gathering Agreement.</w:t>
      </w:r>
    </w:p>
    <w:p>
      <w:pPr>
        <w:pStyle w:val="Normal"/>
        <w:jc w:val="both"/>
        <w:rPr>
          <w:sz w:val="24"/>
        </w:rPr>
      </w:pPr>
      <w:r>
        <w:rPr>
          <w:sz w:val="24"/>
        </w:rPr>
      </w:r>
    </w:p>
    <w:p>
      <w:pPr>
        <w:pStyle w:val="Normal"/>
        <w:jc w:val="both"/>
        <w:rPr>
          <w:sz w:val="24"/>
        </w:rPr>
      </w:pPr>
      <w:r>
        <w:rPr>
          <w:sz w:val="24"/>
        </w:rPr>
        <w:t xml:space="preserve">Based on our discussions in Denver, it is Crescendo’s understanding that modifications were made to Wildhorse’s San Arroyo Plant which increased the amount of Crescendo’s Dakota Production which can be processed and would allow up to 10,000 mmbtu per day of Crescendo’s Dakota Production to be delivered into any connection with a mainline carrier as designated by Crescendo.  Under Section 8 (“Processing Agreement”) of the Gathering Agreement, Wildhorse has the obligation “to accept all gas delivered up to the maximum daily allowable hereunder and to redeliver the same to a mainline interconneciton to the extent such gas delivered to a mainline carrier is accepted by such carrier”.  The maximum daily allowable as specified in the Gathering Agreement is 10,000 mmbtu per day.  Section 3 in the August 4, 1994 amendment also obligates Wildhorse to redeliver Crescendo’s full volumes after removal of impurities and natural gas liquids.  </w:t>
      </w:r>
    </w:p>
    <w:p>
      <w:pPr>
        <w:pStyle w:val="Normal"/>
        <w:jc w:val="both"/>
        <w:rPr>
          <w:sz w:val="24"/>
        </w:rPr>
      </w:pPr>
      <w:r>
        <w:rPr>
          <w:sz w:val="24"/>
        </w:rPr>
      </w:r>
    </w:p>
    <w:p>
      <w:pPr>
        <w:pStyle w:val="Normal"/>
        <w:jc w:val="both"/>
        <w:rPr>
          <w:sz w:val="24"/>
        </w:rPr>
      </w:pPr>
      <w:r>
        <w:rPr>
          <w:sz w:val="24"/>
        </w:rPr>
        <w:t>It is our understanding that recent curtailment of Crescendo’s Dakota Production is attributable to Wildhorse curtailing Crescendo to allow other producer’s natural gas to flow on the Wildhorse gathering sytem.  Crescendo does not find any provisions in the Gathering Agreement which allow Wildhorse to curtail Crescendo’s Dakota Production in order to move third party gas.  To the contrary, the Gathering Agreement provides that Crescendo’s maximum daily allowable of gas was granted “first queue position” on the Wildhorse gathering system.</w:t>
      </w:r>
    </w:p>
    <w:p>
      <w:pPr>
        <w:pStyle w:val="Normal"/>
        <w:jc w:val="both"/>
        <w:rPr>
          <w:sz w:val="24"/>
        </w:rPr>
      </w:pPr>
      <w:r>
        <w:rPr>
          <w:sz w:val="24"/>
        </w:rPr>
      </w:r>
    </w:p>
    <w:p>
      <w:pPr>
        <w:pStyle w:val="Normal"/>
        <w:jc w:val="both"/>
        <w:rPr>
          <w:sz w:val="24"/>
        </w:rPr>
      </w:pPr>
      <w:r>
        <w:rPr>
          <w:sz w:val="24"/>
        </w:rPr>
        <w:t>Crescendo’s position is that our Dakota Production may not be curtailed for any other producer’s natural gas and in light of Northwest Pipeline’s ability to take the Dakota Production.  Accordingly, we expect Wildhorse to accept all gas delivered by Crescendo up to the maximum daily allowable.</w:t>
      </w:r>
    </w:p>
    <w:p>
      <w:pPr>
        <w:pStyle w:val="Normal"/>
        <w:jc w:val="both"/>
        <w:rPr>
          <w:sz w:val="24"/>
        </w:rPr>
      </w:pPr>
      <w:r>
        <w:rPr>
          <w:sz w:val="24"/>
        </w:rPr>
      </w:r>
    </w:p>
    <w:p>
      <w:pPr>
        <w:pStyle w:val="Normal"/>
        <w:jc w:val="both"/>
        <w:rPr>
          <w:sz w:val="24"/>
        </w:rPr>
      </w:pPr>
      <w:r>
        <w:rPr>
          <w:sz w:val="24"/>
        </w:rPr>
        <w:t>In addition, Section 6 of the Gathering Agreement requires Wildhorse to operate the system so that the line pressures at each Delivery Point (meter station on or near the well site) does not exceed “the average line pressure over the prior three (3) years immediately preceeding the Effective Time of Northstar’s acquisition of the Oil and Gas Properties”.  The historical operation of the gathering system indicates that the line pressures during the term of the Gathering Agreement have risen from such prior three (3) year levels.  Connection of the Bonneville system into the San Arroyo Plant area and the resulting installation of 2 wellhead compression units for Crescendo’s gas indicate that pressure in this area have risen from previous levels.  Crescendo requests that Wildhorse remedy such rise in pressures as soon as possible and provide to Crescendo the pressure data that Wildhorse, as system operator, should have for such three (3) year period.</w:t>
      </w:r>
    </w:p>
    <w:p>
      <w:pPr>
        <w:pStyle w:val="Normal"/>
        <w:jc w:val="both"/>
        <w:rPr>
          <w:sz w:val="24"/>
        </w:rPr>
      </w:pPr>
      <w:r>
        <w:rPr>
          <w:sz w:val="24"/>
        </w:rPr>
      </w:r>
    </w:p>
    <w:p>
      <w:pPr>
        <w:pStyle w:val="BodyText"/>
        <w:rPr/>
      </w:pPr>
      <w:r>
        <w:rPr/>
        <w:t>Crescendo would appreciate Wildhorse’s prompt acknowledgement of your obligations under the Gathering Agreement and prompt action as necessary to bring Wildhorse into compliance with its obligations.</w:t>
      </w:r>
    </w:p>
    <w:p>
      <w:pPr>
        <w:pStyle w:val="BodyText"/>
        <w:rPr/>
      </w:pPr>
      <w:r>
        <w:rPr/>
      </w:r>
    </w:p>
    <w:p>
      <w:pPr>
        <w:pStyle w:val="Normal"/>
        <w:jc w:val="both"/>
        <w:rPr>
          <w:sz w:val="24"/>
        </w:rPr>
      </w:pPr>
      <w:r>
        <w:rPr>
          <w:sz w:val="24"/>
        </w:rPr>
      </w:r>
    </w:p>
    <w:p>
      <w:pPr>
        <w:pStyle w:val="Normal"/>
        <w:jc w:val="both"/>
        <w:rPr>
          <w:sz w:val="24"/>
        </w:rPr>
      </w:pPr>
      <w:r>
        <w:rPr>
          <w:sz w:val="24"/>
        </w:rPr>
        <w:t xml:space="preserve">  </w:t>
      </w:r>
    </w:p>
    <w:p>
      <w:pPr>
        <w:pStyle w:val="Normal"/>
        <w:jc w:val="both"/>
        <w:rPr>
          <w:sz w:val="24"/>
        </w:rPr>
      </w:pPr>
      <w:r>
        <w:rPr>
          <w:sz w:val="24"/>
        </w:rPr>
        <w:tab/>
        <w:tab/>
        <w:tab/>
        <w:tab/>
        <w:tab/>
        <w:tab/>
        <w:t>Sincerely,</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tab/>
        <w:tab/>
        <w:tab/>
        <w:tab/>
        <w:tab/>
        <w:t>Crescendo Energy Partners, LLC</w:t>
      </w:r>
    </w:p>
    <w:p>
      <w:pPr>
        <w:pStyle w:val="Normal"/>
        <w:ind w:start="4320" w:end="0"/>
        <w:jc w:val="both"/>
        <w:rPr>
          <w:sz w:val="24"/>
        </w:rPr>
      </w:pPr>
      <w:r>
        <w:rPr>
          <w:sz w:val="24"/>
        </w:rPr>
        <w:t>Managing Member of Crescendo Energy, LLC</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Cc:</w:t>
        <w:tab/>
        <w:t>Carter Mathies (Wildhorse Operating Team)</w:t>
      </w:r>
    </w:p>
    <w:p>
      <w:pPr>
        <w:pStyle w:val="Normal"/>
        <w:jc w:val="both"/>
        <w:rPr>
          <w:sz w:val="24"/>
        </w:rPr>
      </w:pPr>
      <w:r>
        <w:rPr>
          <w:sz w:val="24"/>
        </w:rPr>
        <w:tab/>
        <w:t>Tom Dyk (Wildhorse Operating Team)</w:t>
      </w:r>
    </w:p>
    <w:p>
      <w:pPr>
        <w:pStyle w:val="Normal"/>
        <w:jc w:val="both"/>
        <w:rPr>
          <w:sz w:val="24"/>
        </w:rPr>
      </w:pPr>
      <w:r>
        <w:rPr>
          <w:sz w:val="24"/>
        </w:rPr>
        <w:tab/>
        <w:t>Pete Scherer (Wildhorse Operating Team)</w:t>
      </w:r>
    </w:p>
    <w:p>
      <w:pPr>
        <w:pStyle w:val="Normal"/>
        <w:jc w:val="both"/>
        <w:rPr>
          <w:sz w:val="24"/>
        </w:rPr>
      </w:pPr>
      <w:r>
        <w:rPr>
          <w:sz w:val="24"/>
        </w:rPr>
        <w:tab/>
        <w:t>Don Opersteny (Wildhorse Operating Team)</w:t>
      </w:r>
    </w:p>
    <w:p>
      <w:pPr>
        <w:pStyle w:val="Normal"/>
        <w:jc w:val="both"/>
        <w:rPr>
          <w:sz w:val="24"/>
        </w:rPr>
      </w:pPr>
      <w:r>
        <w:rPr>
          <w:sz w:val="24"/>
        </w:rPr>
        <w:tab/>
        <w:t>Steve Huckaby – Wildhorse</w:t>
      </w:r>
    </w:p>
    <w:p>
      <w:pPr>
        <w:pStyle w:val="Normal"/>
        <w:jc w:val="both"/>
        <w:rPr>
          <w:sz w:val="24"/>
        </w:rPr>
      </w:pPr>
      <w:r>
        <w:rPr>
          <w:sz w:val="24"/>
        </w:rPr>
        <w:tab/>
        <w:t>Scott Josey (Enron)</w:t>
      </w:r>
    </w:p>
    <w:p>
      <w:pPr>
        <w:pStyle w:val="Normal"/>
        <w:jc w:val="both"/>
        <w:rPr>
          <w:sz w:val="24"/>
        </w:rPr>
      </w:pPr>
      <w:r>
        <w:rPr>
          <w:sz w:val="24"/>
        </w:rPr>
        <w:tab/>
        <w:t>Brian Redmond (Enron)</w:t>
      </w:r>
    </w:p>
    <w:p>
      <w:pPr>
        <w:pStyle w:val="Normal"/>
        <w:jc w:val="both"/>
        <w:rPr>
          <w:sz w:val="24"/>
        </w:rPr>
      </w:pPr>
      <w:r>
        <w:rPr>
          <w:sz w:val="24"/>
        </w:rPr>
        <w:tab/>
        <w:t>Dan Bump (Enron)</w:t>
      </w:r>
    </w:p>
    <w:p>
      <w:pPr>
        <w:pStyle w:val="Normal"/>
        <w:jc w:val="both"/>
        <w:rPr>
          <w:sz w:val="24"/>
        </w:rPr>
      </w:pPr>
      <w:r>
        <w:rPr>
          <w:sz w:val="24"/>
        </w:rPr>
        <w:tab/>
        <w:t>Mark Whitt (Enron)</w:t>
      </w:r>
    </w:p>
    <w:p>
      <w:pPr>
        <w:pStyle w:val="Normal"/>
        <w:jc w:val="both"/>
        <w:rPr>
          <w:sz w:val="24"/>
        </w:rPr>
      </w:pPr>
      <w:r>
        <w:rPr>
          <w:sz w:val="24"/>
        </w:rPr>
        <w:tab/>
        <w:t>Gerald Nemec (Enron)</w:t>
      </w:r>
    </w:p>
    <w:p>
      <w:pPr>
        <w:pStyle w:val="Normal"/>
        <w:jc w:val="both"/>
        <w:rPr>
          <w:sz w:val="24"/>
        </w:rPr>
      </w:pPr>
      <w:r>
        <w:rPr>
          <w:sz w:val="24"/>
        </w:rPr>
      </w:r>
    </w:p>
    <w:sectPr>
      <w:headerReference w:type="default" r:id="rId2"/>
      <w:footerReference w:type="default" r:id="rId3"/>
      <w:type w:val="nextPage"/>
      <w:pgSz w:w="12240" w:h="15840"/>
      <w:pgMar w:left="1800" w:right="1800" w:gutter="0" w:header="720" w:top="1440" w:footer="10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\p </w:instrText>
    </w:r>
    <w:r>
      <w:rPr>
        <w:sz w:val="14"/>
      </w:rPr>
      <w:fldChar w:fldCharType="separate"/>
    </w:r>
    <w:r>
      <w:rPr>
        <w:sz w:val="14"/>
      </w:rPr>
      <w:t>/mnt/main-storage/datasets/enron-docs/doc/Drft_ltr_09_13_00.doc</w:t>
    </w:r>
    <w:r>
      <w:rPr>
        <w:sz w:val="14"/>
      </w:rPr>
      <w:fldChar w:fldCharType="end"/>
    </w:r>
    <w:r>
      <w:rPr>
        <w:sz w:val="14"/>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Crescendo Energy, LLC</w:t>
    </w:r>
  </w:p>
  <w:p>
    <w:pPr>
      <w:pStyle w:val="Header"/>
      <w:jc w:val="end"/>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jc w:val="both"/>
      <w:outlineLvl w:val="1"/>
    </w:pPr>
    <w:rPr>
      <w:sz w:val="24"/>
    </w:rPr>
  </w:style>
  <w:style w:type="paragraph" w:styleId="Heading3">
    <w:name w:val="heading 3"/>
    <w:basedOn w:val="Normal"/>
    <w:next w:val="Normal"/>
    <w:qFormat/>
    <w:pPr>
      <w:keepNext w:val="true"/>
      <w:numPr>
        <w:ilvl w:val="2"/>
        <w:numId w:val="1"/>
      </w:numPr>
      <w:jc w:val="end"/>
      <w:outlineLvl w:val="2"/>
    </w:pPr>
    <w:rPr>
      <w:sz w:val="24"/>
    </w:rPr>
  </w:style>
  <w:style w:type="paragraph" w:styleId="Heading4">
    <w:name w:val="heading 4"/>
    <w:basedOn w:val="Normal"/>
    <w:next w:val="Normal"/>
    <w:qFormat/>
    <w:pPr>
      <w:keepNext w:val="true"/>
      <w:numPr>
        <w:ilvl w:val="3"/>
        <w:numId w:val="1"/>
      </w:numPr>
      <w:outlineLvl w:val="3"/>
    </w:pPr>
    <w:rPr>
      <w:b/>
      <w:bCs/>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720" w:end="0"/>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2000-09-13T20:54:00Z</dcterms:created>
  <dc:creator>Pat Radford</dc:creator>
  <dc:description/>
  <dc:language>en-CA</dc:language>
  <cp:lastModifiedBy>gnemec</cp:lastModifiedBy>
  <cp:lastPrinted>2000-09-13T18:44:00Z</cp:lastPrinted>
  <dcterms:modified xsi:type="dcterms:W3CDTF">2000-09-14T13:52:00Z</dcterms:modified>
  <cp:revision>11</cp:revision>
  <dc:subject/>
  <dc:title>November 11, 1998</dc:title>
</cp:coreProperties>
</file>