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  <w:lang w:val="en-CA"/>
        </w:rPr>
      </w:pPr>
      <w:r>
        <w:rPr>
          <w:sz w:val="24"/>
          <w:lang w:val="en-CA"/>
        </w:rPr>
        <w:object w:dxaOrig="6869" w:dyaOrig="2910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-53.85pt;margin-top:-36pt;width:172.8pt;height:73.2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2000225107" r:id="rId2"/>
        </w:object>
      </w:r>
    </w:p>
    <w:p>
      <w:pPr>
        <w:pStyle w:val="Heading3"/>
        <w:ind w:hanging="0" w:start="0"/>
        <w:rPr>
          <w:color w:val="808080"/>
          <w:sz w:val="48"/>
        </w:rPr>
      </w:pPr>
      <w:r>
        <w:rPr>
          <w:color w:val="808080"/>
          <w:sz w:val="48"/>
        </w:rPr>
        <w:t>GARP 2001</w:t>
      </w:r>
    </w:p>
    <w:p>
      <w:pPr>
        <w:pStyle w:val="Normal"/>
        <w:rPr>
          <w:color w:val="808080"/>
          <w:sz w:val="4"/>
        </w:rPr>
      </w:pPr>
      <w:r>
        <w:rPr>
          <w:color w:val="808080"/>
          <w:sz w:val="4"/>
        </w:rPr>
      </w:r>
    </w:p>
    <w:p>
      <w:pPr>
        <w:pStyle w:val="Normal"/>
        <w:rPr/>
      </w:pPr>
      <w:r>
        <w:rPr>
          <w:rFonts w:cs="Tahoma" w:ascii="Tahoma" w:hAnsi="Tahoma"/>
          <w:b/>
          <w:i/>
          <w:color w:val="808080"/>
          <w:sz w:val="28"/>
        </w:rPr>
        <w:t>2nd</w:t>
      </w:r>
      <w:r>
        <w:rPr>
          <w:rFonts w:cs="Tahoma" w:ascii="Tahoma" w:hAnsi="Tahoma"/>
          <w:b/>
          <w:i/>
          <w:sz w:val="28"/>
        </w:rPr>
        <w:t xml:space="preserve"> Annual Risk Management Convention &amp; Exhibition</w:t>
      </w:r>
    </w:p>
    <w:p>
      <w:pPr>
        <w:pStyle w:val="Normal"/>
        <w:rPr>
          <w:rFonts w:ascii="Tahoma" w:hAnsi="Tahoma" w:cs="Tahoma"/>
          <w:b/>
          <w:i/>
          <w:i/>
          <w:sz w:val="4"/>
        </w:rPr>
      </w:pPr>
      <w:r>
        <w:rPr>
          <w:rFonts w:cs="Tahoma" w:ascii="Tahoma" w:hAnsi="Tahoma"/>
          <w:b/>
          <w:i/>
          <w:sz w:val="4"/>
        </w:rPr>
      </w:r>
    </w:p>
    <w:p>
      <w:pPr>
        <w:pStyle w:val="Normal"/>
        <w:rPr/>
      </w:pPr>
      <w:r>
        <w:rPr>
          <w:rFonts w:cs="Tahoma" w:ascii="Tahoma" w:hAnsi="Tahoma"/>
          <w:b/>
          <w:i/>
          <w:sz w:val="28"/>
        </w:rPr>
        <w:t xml:space="preserve">&amp; </w:t>
      </w:r>
      <w:r>
        <w:rPr>
          <w:rFonts w:cs="Tahoma" w:ascii="Tahoma" w:hAnsi="Tahoma"/>
          <w:b/>
          <w:i/>
          <w:color w:val="808080"/>
          <w:sz w:val="28"/>
        </w:rPr>
        <w:t>GARP</w:t>
      </w:r>
      <w:r>
        <w:rPr>
          <w:rFonts w:cs="Tahoma" w:ascii="Tahoma" w:hAnsi="Tahoma"/>
          <w:b/>
          <w:i/>
          <w:sz w:val="28"/>
        </w:rPr>
        <w:t xml:space="preserve"> Financial Risk Manager of the Year Awards</w:t>
      </w:r>
    </w:p>
    <w:p>
      <w:pPr>
        <w:pStyle w:val="Normal"/>
        <w:rPr>
          <w:rFonts w:ascii="Tahoma" w:hAnsi="Tahoma" w:cs="Tahoma"/>
          <w:b/>
          <w:i/>
          <w:i/>
          <w:sz w:val="28"/>
        </w:rPr>
      </w:pPr>
      <w:r>
        <w:rPr>
          <w:rFonts w:cs="Tahoma" w:ascii="Tahoma" w:hAnsi="Tahoma"/>
          <w:b/>
          <w:i/>
          <w:sz w:val="28"/>
        </w:rPr>
      </w:r>
    </w:p>
    <w:p>
      <w:pPr>
        <w:pStyle w:val="Normal"/>
        <w:rPr/>
      </w:pPr>
      <w:r>
        <w:rPr>
          <w:rFonts w:cs="Tahoma" w:ascii="Tahoma" w:hAnsi="Tahoma"/>
          <w:b/>
          <w:i/>
          <w:sz w:val="24"/>
        </w:rPr>
        <w:t>February 13</w:t>
      </w:r>
      <w:r>
        <w:rPr>
          <w:rFonts w:cs="Tahoma" w:ascii="Tahoma" w:hAnsi="Tahoma"/>
          <w:b/>
          <w:i/>
          <w:sz w:val="24"/>
          <w:vertAlign w:val="superscript"/>
        </w:rPr>
        <w:t>th</w:t>
      </w:r>
      <w:r>
        <w:rPr>
          <w:rFonts w:cs="Tahoma" w:ascii="Tahoma" w:hAnsi="Tahoma"/>
          <w:b/>
          <w:i/>
          <w:sz w:val="24"/>
        </w:rPr>
        <w:t xml:space="preserve"> &amp; 14</w:t>
      </w:r>
      <w:r>
        <w:rPr>
          <w:rFonts w:cs="Tahoma" w:ascii="Tahoma" w:hAnsi="Tahoma"/>
          <w:b/>
          <w:i/>
          <w:sz w:val="24"/>
          <w:vertAlign w:val="superscript"/>
        </w:rPr>
        <w:t>th</w:t>
      </w:r>
      <w:r>
        <w:rPr>
          <w:rFonts w:cs="Tahoma" w:ascii="Tahoma" w:hAnsi="Tahoma"/>
          <w:b/>
          <w:i/>
          <w:sz w:val="24"/>
        </w:rPr>
        <w:t xml:space="preserve"> 2001 – Marriott World Trade Center, New York</w:t>
      </w:r>
    </w:p>
    <w:p>
      <w:pPr>
        <w:pStyle w:val="Normal"/>
        <w:rPr>
          <w:rFonts w:ascii="Tahoma" w:hAnsi="Tahoma" w:cs="Tahoma"/>
          <w:b/>
          <w:i/>
          <w:i/>
          <w:sz w:val="28"/>
        </w:rPr>
      </w:pPr>
      <w:r>
        <w:rPr>
          <w:rFonts w:cs="Tahoma" w:ascii="Tahoma" w:hAnsi="Tahoma"/>
          <w:b/>
          <w:i/>
          <w:sz w:val="28"/>
        </w:rPr>
      </w:r>
    </w:p>
    <w:p>
      <w:pPr>
        <w:pStyle w:val="Heading1"/>
        <w:shd w:fill="CCCCCC" w:val="clear"/>
        <w:ind w:hanging="0" w:start="0"/>
        <w:jc w:val="center"/>
        <w:rPr>
          <w:i w:val="false"/>
          <w:i w:val="false"/>
          <w:color w:val="auto"/>
        </w:rPr>
      </w:pPr>
      <w:r>
        <w:rPr>
          <w:i w:val="false"/>
          <w:color w:val="auto"/>
        </w:rPr>
        <w:t>DRAFT AGENDA</w:t>
      </w:r>
    </w:p>
    <w:p>
      <w:pPr>
        <w:pStyle w:val="Normal"/>
        <w:rPr>
          <w:rFonts w:ascii="Tahoma" w:hAnsi="Tahoma" w:cs="Tahoma"/>
          <w:b/>
          <w:i/>
          <w:i/>
          <w:color w:val="auto"/>
          <w:sz w:val="28"/>
        </w:rPr>
      </w:pPr>
      <w:r>
        <w:rPr>
          <w:rFonts w:cs="Tahoma" w:ascii="Tahoma" w:hAnsi="Tahoma"/>
          <w:b/>
          <w:i/>
          <w:color w:val="auto"/>
          <w:sz w:val="28"/>
        </w:rPr>
      </w:r>
    </w:p>
    <w:p>
      <w:pPr>
        <w:pStyle w:val="Heading2"/>
        <w:ind w:hanging="0" w:start="0"/>
        <w:rPr>
          <w:i w:val="false"/>
          <w:i w:val="false"/>
          <w:color w:val="808080"/>
          <w:sz w:val="32"/>
        </w:rPr>
      </w:pPr>
      <w:r>
        <w:rPr>
          <w:i w:val="false"/>
          <w:color w:val="808080"/>
          <w:sz w:val="32"/>
        </w:rPr>
        <w:t>Market Risk</w:t>
      </w:r>
    </w:p>
    <w:p>
      <w:pPr>
        <w:pStyle w:val="Heading2"/>
        <w:ind w:hanging="0" w:start="0"/>
        <w:rPr>
          <w:color w:val="808080"/>
        </w:rPr>
      </w:pPr>
      <w:r>
        <w:rPr>
          <w:color w:val="808080"/>
          <w:sz w:val="24"/>
        </w:rPr>
        <w:t>Stress Testing, Liquidity, Jump Diffusion, EVT</w:t>
      </w:r>
    </w:p>
    <w:p>
      <w:pPr>
        <w:pStyle w:val="BodyText2"/>
        <w:rPr>
          <w:rFonts w:ascii="Times New Roman" w:hAnsi="Times New Roman" w:cs="Times New Roman"/>
          <w:b w:val="false"/>
          <w:color w:val="auto"/>
        </w:rPr>
      </w:pPr>
      <w:r>
        <w:rPr>
          <w:rFonts w:cs="Times New Roman" w:ascii="Times New Roman" w:hAnsi="Times New Roman"/>
          <w:b w:val="false"/>
          <w:color w:val="auto"/>
        </w:rPr>
      </w:r>
    </w:p>
    <w:p>
      <w:pPr>
        <w:pStyle w:val="BodyText2"/>
        <w:numPr>
          <w:ilvl w:val="0"/>
          <w:numId w:val="7"/>
        </w:numPr>
        <w:rPr>
          <w:rFonts w:ascii="Times New Roman" w:hAnsi="Times New Roman" w:cs="Times New Roman"/>
          <w:b w:val="false"/>
          <w:color w:val="auto"/>
        </w:rPr>
      </w:pPr>
      <w:r>
        <w:rPr>
          <w:rFonts w:cs="Times New Roman" w:ascii="Times New Roman" w:hAnsi="Times New Roman"/>
          <w:b w:val="false"/>
          <w:color w:val="auto"/>
        </w:rPr>
        <w:t>Overcoming the Limitations of Statistical VaR – Supplementing VaR with Stress Testing and Scenario Analysis for Enhanced Risk Assessment</w:t>
      </w:r>
    </w:p>
    <w:p>
      <w:pPr>
        <w:pStyle w:val="Normal"/>
        <w:rPr>
          <w:rFonts w:ascii="Times New Roman" w:hAnsi="Times New Roman" w:cs="Times New Roman"/>
          <w:b/>
          <w:color w:val="auto"/>
          <w:sz w:val="24"/>
        </w:rPr>
      </w:pPr>
      <w:r>
        <w:rPr>
          <w:rFonts w:cs="Times New Roman"/>
          <w:b/>
          <w:color w:val="auto"/>
          <w:sz w:val="24"/>
        </w:rPr>
      </w:r>
    </w:p>
    <w:p>
      <w:pPr>
        <w:pStyle w:val="BodyText2"/>
        <w:numPr>
          <w:ilvl w:val="0"/>
          <w:numId w:val="7"/>
        </w:numPr>
        <w:rPr>
          <w:rFonts w:ascii="Times New Roman" w:hAnsi="Times New Roman" w:cs="Times New Roman"/>
          <w:b w:val="false"/>
          <w:color w:val="auto"/>
        </w:rPr>
      </w:pPr>
      <w:r>
        <w:rPr>
          <w:rFonts w:cs="Times New Roman" w:ascii="Times New Roman" w:hAnsi="Times New Roman"/>
          <w:b w:val="false"/>
          <w:color w:val="auto"/>
        </w:rPr>
        <w:t>Explaining the validity of VaR disclosure</w:t>
      </w:r>
    </w:p>
    <w:p>
      <w:pPr>
        <w:pStyle w:val="BodyText2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Confirmed:</w:t>
      </w:r>
    </w:p>
    <w:p>
      <w:pPr>
        <w:pStyle w:val="BodyText2"/>
        <w:rPr/>
      </w:pPr>
      <w:r>
        <w:rPr>
          <w:rFonts w:cs="Times New Roman" w:ascii="Times New Roman" w:hAnsi="Times New Roman"/>
          <w:color w:val="auto"/>
        </w:rPr>
        <w:t>Prof. Philippe Jorion</w:t>
      </w:r>
      <w:r>
        <w:rPr>
          <w:rFonts w:cs="Times New Roman" w:ascii="Times New Roman" w:hAnsi="Times New Roman"/>
          <w:b w:val="false"/>
          <w:color w:val="auto"/>
        </w:rPr>
        <w:t xml:space="preserve">, </w:t>
      </w:r>
      <w:r>
        <w:rPr>
          <w:rFonts w:cs="Times New Roman" w:ascii="Times New Roman" w:hAnsi="Times New Roman"/>
          <w:b w:val="false"/>
          <w:i/>
          <w:color w:val="auto"/>
        </w:rPr>
        <w:t>Professor of Finance, Graduate School of Management,</w:t>
      </w:r>
      <w:r>
        <w:rPr>
          <w:rFonts w:cs="Times New Roman" w:ascii="Times New Roman" w:hAnsi="Times New Roman"/>
          <w:color w:val="auto"/>
        </w:rPr>
        <w:t xml:space="preserve"> University of California - Irvine</w:t>
      </w:r>
      <w:r>
        <w:rPr>
          <w:rFonts w:cs="Times New Roman" w:ascii="Times New Roman" w:hAnsi="Times New Roman"/>
          <w:b w:val="false"/>
          <w:color w:val="auto"/>
        </w:rPr>
        <w:t xml:space="preserve"> </w:t>
      </w:r>
    </w:p>
    <w:p>
      <w:pPr>
        <w:pStyle w:val="BodyText2"/>
        <w:rPr>
          <w:rFonts w:ascii="Times New Roman" w:hAnsi="Times New Roman" w:cs="Times New Roman"/>
          <w:b w:val="false"/>
          <w:color w:val="auto"/>
        </w:rPr>
      </w:pPr>
      <w:r>
        <w:rPr>
          <w:rFonts w:cs="Times New Roman" w:ascii="Times New Roman" w:hAnsi="Times New Roman"/>
          <w:b w:val="false"/>
          <w:color w:val="auto"/>
        </w:rPr>
      </w:r>
    </w:p>
    <w:p>
      <w:pPr>
        <w:pStyle w:val="BodyText2"/>
        <w:numPr>
          <w:ilvl w:val="0"/>
          <w:numId w:val="7"/>
        </w:numPr>
        <w:rPr>
          <w:rFonts w:ascii="Times New Roman" w:hAnsi="Times New Roman" w:cs="Times New Roman"/>
          <w:b w:val="false"/>
          <w:color w:val="auto"/>
        </w:rPr>
      </w:pPr>
      <w:r>
        <w:rPr>
          <w:rFonts w:cs="Times New Roman" w:ascii="Times New Roman" w:hAnsi="Times New Roman"/>
          <w:b w:val="false"/>
          <w:color w:val="auto"/>
        </w:rPr>
        <w:t>Advanced Stress Testing Techniques – Combining Data from Various Loss Scenarios for More Realistic and Accurate Results</w:t>
      </w:r>
    </w:p>
    <w:p>
      <w:pPr>
        <w:pStyle w:val="Normal"/>
        <w:rPr>
          <w:rFonts w:ascii="Times New Roman" w:hAnsi="Times New Roman" w:cs="Times New Roman"/>
          <w:b/>
          <w:color w:val="auto"/>
          <w:sz w:val="24"/>
        </w:rPr>
      </w:pPr>
      <w:r>
        <w:rPr>
          <w:rFonts w:cs="Times New Roman"/>
          <w:b/>
          <w:color w:val="auto"/>
          <w:sz w:val="24"/>
        </w:rPr>
      </w:r>
    </w:p>
    <w:p>
      <w:pPr>
        <w:pStyle w:val="BodyText3"/>
        <w:numPr>
          <w:ilvl w:val="0"/>
          <w:numId w:val="7"/>
        </w:numPr>
        <w:rPr>
          <w:rFonts w:ascii="Times New Roman" w:hAnsi="Times New Roman" w:cs="Times New Roman"/>
          <w:b w:val="false"/>
          <w:color w:val="auto"/>
        </w:rPr>
      </w:pPr>
      <w:r>
        <w:rPr>
          <w:rFonts w:cs="Times New Roman" w:ascii="Times New Roman" w:hAnsi="Times New Roman"/>
          <w:b w:val="false"/>
          <w:color w:val="auto"/>
        </w:rPr>
        <w:t>New Developments: Incorporating Time Lags into Stress Testing – Dislocation and Spreading when Applying Shocks to Your Portfolio</w:t>
      </w:r>
    </w:p>
    <w:p>
      <w:pPr>
        <w:pStyle w:val="BodyText3"/>
        <w:rPr>
          <w:rFonts w:ascii="Times New Roman" w:hAnsi="Times New Roman" w:cs="Times New Roman"/>
          <w:b w:val="false"/>
          <w:color w:val="auto"/>
        </w:rPr>
      </w:pPr>
      <w:r>
        <w:rPr>
          <w:rFonts w:cs="Times New Roman" w:ascii="Times New Roman" w:hAnsi="Times New Roman"/>
          <w:b w:val="false"/>
          <w:color w:val="auto"/>
        </w:rPr>
      </w:r>
    </w:p>
    <w:p>
      <w:pPr>
        <w:pStyle w:val="BodyText3"/>
        <w:numPr>
          <w:ilvl w:val="0"/>
          <w:numId w:val="7"/>
        </w:numPr>
        <w:rPr>
          <w:rFonts w:ascii="Times New Roman" w:hAnsi="Times New Roman" w:cs="Times New Roman"/>
          <w:b w:val="false"/>
          <w:color w:val="auto"/>
        </w:rPr>
      </w:pPr>
      <w:r>
        <w:rPr>
          <w:rFonts w:cs="Times New Roman" w:ascii="Times New Roman" w:hAnsi="Times New Roman"/>
          <w:b w:val="false"/>
          <w:color w:val="auto"/>
        </w:rPr>
        <w:t>Customised Desk-Level Scenario Testing for improved Risk-Adjusted Return on Capital</w:t>
      </w:r>
    </w:p>
    <w:p>
      <w:pPr>
        <w:pStyle w:val="BodyText3"/>
        <w:rPr>
          <w:rFonts w:ascii="Times New Roman" w:hAnsi="Times New Roman" w:cs="Times New Roman"/>
          <w:b w:val="false"/>
          <w:color w:val="auto"/>
        </w:rPr>
      </w:pPr>
      <w:r>
        <w:rPr>
          <w:rFonts w:cs="Times New Roman" w:ascii="Times New Roman" w:hAnsi="Times New Roman"/>
          <w:b w:val="false"/>
          <w:color w:val="auto"/>
        </w:rPr>
      </w:r>
    </w:p>
    <w:p>
      <w:pPr>
        <w:pStyle w:val="BodyText3"/>
        <w:numPr>
          <w:ilvl w:val="0"/>
          <w:numId w:val="7"/>
        </w:numPr>
        <w:rPr>
          <w:rFonts w:ascii="Times New Roman" w:hAnsi="Times New Roman" w:cs="Times New Roman"/>
          <w:b w:val="false"/>
          <w:color w:val="auto"/>
        </w:rPr>
      </w:pPr>
      <w:r>
        <w:rPr>
          <w:rFonts w:cs="Times New Roman" w:ascii="Times New Roman" w:hAnsi="Times New Roman"/>
          <w:b w:val="false"/>
          <w:color w:val="auto"/>
        </w:rPr>
        <w:t>Combining Market Risk and Credit Risk Scenarios for Accurate and Meaningful Stress Testing Results</w:t>
      </w:r>
    </w:p>
    <w:p>
      <w:pPr>
        <w:pStyle w:val="BodyText"/>
        <w:rPr>
          <w:rFonts w:ascii="Times New Roman" w:hAnsi="Times New Roman" w:cs="Times New Roman"/>
          <w:b w:val="false"/>
          <w:color w:val="auto"/>
        </w:rPr>
      </w:pPr>
      <w:r>
        <w:rPr>
          <w:rFonts w:cs="Times New Roman" w:ascii="Times New Roman" w:hAnsi="Times New Roman"/>
          <w:b w:val="false"/>
          <w:color w:val="auto"/>
        </w:rPr>
      </w:r>
    </w:p>
    <w:p>
      <w:pPr>
        <w:pStyle w:val="BodyText"/>
        <w:numPr>
          <w:ilvl w:val="0"/>
          <w:numId w:val="14"/>
        </w:numPr>
        <w:rPr>
          <w:rFonts w:ascii="Times New Roman" w:hAnsi="Times New Roman" w:cs="Times New Roman"/>
          <w:b w:val="false"/>
        </w:rPr>
      </w:pPr>
      <w:r>
        <w:rPr>
          <w:rFonts w:cs="Times New Roman" w:ascii="Times New Roman" w:hAnsi="Times New Roman"/>
          <w:b w:val="false"/>
        </w:rPr>
        <w:t>The Return of the Jump – Using Jump Diffusion in Option Pricing for Enhanced Model Validation and More Faithful Mark to Market of Complex Products</w:t>
      </w:r>
    </w:p>
    <w:p>
      <w:pPr>
        <w:pStyle w:val="BodyTextIndent"/>
        <w:rPr>
          <w:rFonts w:ascii="Times New Roman" w:hAnsi="Times New Roman" w:cs="Times New Roman"/>
          <w:b w:val="false"/>
        </w:rPr>
      </w:pPr>
      <w:r>
        <w:rPr>
          <w:rFonts w:cs="Times New Roman"/>
          <w:b w:val="false"/>
        </w:rPr>
      </w:r>
    </w:p>
    <w:p>
      <w:pPr>
        <w:pStyle w:val="BodyText2"/>
        <w:numPr>
          <w:ilvl w:val="0"/>
          <w:numId w:val="16"/>
        </w:numPr>
        <w:rPr>
          <w:rFonts w:ascii="Times New Roman" w:hAnsi="Times New Roman" w:cs="Times New Roman"/>
          <w:b w:val="false"/>
          <w:color w:val="auto"/>
        </w:rPr>
      </w:pPr>
      <w:r>
        <w:rPr>
          <w:rFonts w:cs="Times New Roman" w:ascii="Times New Roman" w:hAnsi="Times New Roman"/>
          <w:b w:val="false"/>
          <w:color w:val="auto"/>
        </w:rPr>
        <w:t>Enhancing VaR with Jump-Diffusion Models for a More Robust Measure of Market Risk</w:t>
      </w:r>
    </w:p>
    <w:p>
      <w:pPr>
        <w:pStyle w:val="Heading3"/>
        <w:ind w:hanging="0" w:start="0"/>
        <w:rPr>
          <w:rFonts w:ascii="Times New Roman" w:hAnsi="Times New Roman" w:cs="Times New Roman"/>
          <w:b w:val="false"/>
          <w:color w:val="auto"/>
          <w:sz w:val="24"/>
        </w:rPr>
      </w:pPr>
      <w:r>
        <w:rPr>
          <w:rFonts w:cs="Times New Roman" w:ascii="Times New Roman" w:hAnsi="Times New Roman"/>
          <w:b w:val="false"/>
          <w:color w:val="auto"/>
          <w:sz w:val="24"/>
        </w:rPr>
      </w:r>
    </w:p>
    <w:p>
      <w:pPr>
        <w:pStyle w:val="BodyText2"/>
        <w:numPr>
          <w:ilvl w:val="0"/>
          <w:numId w:val="23"/>
        </w:numPr>
        <w:rPr>
          <w:rFonts w:ascii="Times New Roman" w:hAnsi="Times New Roman" w:cs="Times New Roman"/>
          <w:b w:val="false"/>
          <w:color w:val="auto"/>
        </w:rPr>
      </w:pPr>
      <w:r>
        <w:rPr>
          <w:rFonts w:cs="Times New Roman" w:ascii="Times New Roman" w:hAnsi="Times New Roman"/>
          <w:b w:val="false"/>
          <w:color w:val="auto"/>
        </w:rPr>
        <w:t>Liquidity Crisis Management – Using Liquidity-Adjusted VaR to Predict, Measure and Manage Your Exposure to Liquidity Risk</w:t>
      </w:r>
    </w:p>
    <w:p>
      <w:pPr>
        <w:pStyle w:val="Heading2"/>
        <w:ind w:hanging="0" w:start="0"/>
        <w:rPr>
          <w:rFonts w:ascii="Times New Roman" w:hAnsi="Times New Roman" w:cs="Times New Roman"/>
          <w:b w:val="false"/>
          <w:i w:val="false"/>
          <w:i w:val="false"/>
          <w:color w:val="auto"/>
          <w:sz w:val="24"/>
        </w:rPr>
      </w:pPr>
      <w:r>
        <w:rPr>
          <w:rFonts w:cs="Times New Roman" w:ascii="Times New Roman" w:hAnsi="Times New Roman"/>
          <w:b w:val="false"/>
          <w:i w:val="false"/>
          <w:color w:val="auto"/>
          <w:sz w:val="24"/>
        </w:rPr>
      </w:r>
    </w:p>
    <w:p>
      <w:pPr>
        <w:pStyle w:val="Heading2"/>
        <w:numPr>
          <w:ilvl w:val="0"/>
          <w:numId w:val="23"/>
        </w:numPr>
        <w:rPr>
          <w:rFonts w:ascii="Times New Roman" w:hAnsi="Times New Roman" w:cs="Times New Roman"/>
          <w:b w:val="false"/>
          <w:i w:val="false"/>
          <w:i w:val="false"/>
          <w:sz w:val="24"/>
        </w:rPr>
      </w:pPr>
      <w:r>
        <w:rPr>
          <w:rFonts w:cs="Times New Roman" w:ascii="Times New Roman" w:hAnsi="Times New Roman"/>
          <w:b w:val="false"/>
          <w:i w:val="false"/>
          <w:sz w:val="24"/>
        </w:rPr>
        <w:t>Effective Techniques for Capturing and Incorporating Liquidity Risk into Stress Tests</w:t>
      </w:r>
    </w:p>
    <w:p>
      <w:pPr>
        <w:pStyle w:val="Normal"/>
        <w:rPr>
          <w:rFonts w:ascii="Times New Roman" w:hAnsi="Times New Roman" w:cs="Times New Roman"/>
          <w:b/>
          <w:i/>
          <w:i/>
          <w:sz w:val="24"/>
          <w:u w:val="single"/>
        </w:rPr>
      </w:pPr>
      <w:r>
        <w:rPr>
          <w:rFonts w:cs="Times New Roman"/>
          <w:b/>
          <w:i/>
          <w:sz w:val="24"/>
          <w:u w:val="single"/>
        </w:rPr>
      </w:r>
    </w:p>
    <w:p>
      <w:pPr>
        <w:pStyle w:val="Normal"/>
        <w:numPr>
          <w:ilvl w:val="0"/>
          <w:numId w:val="12"/>
        </w:numPr>
        <w:rPr>
          <w:sz w:val="24"/>
        </w:rPr>
      </w:pPr>
      <w:r>
        <w:rPr>
          <w:sz w:val="24"/>
        </w:rPr>
        <w:t>Tackling Non-Linear and Non-Normal Distributions with EVT to Deal with Extreme Market Moves &amp; Event Risk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BodyText2"/>
        <w:numPr>
          <w:ilvl w:val="0"/>
          <w:numId w:val="12"/>
        </w:numPr>
        <w:rPr>
          <w:color w:val="auto"/>
        </w:rPr>
      </w:pPr>
      <w:r>
        <w:rPr>
          <w:rFonts w:cs="Times New Roman" w:ascii="Times New Roman" w:hAnsi="Times New Roman"/>
          <w:b w:val="false"/>
          <w:color w:val="auto"/>
        </w:rPr>
        <w:t>Using Extreme Value Theory across Asset Classes – Theoretical Advances in the Portfolio-Wide Applicability of EVT</w:t>
      </w:r>
    </w:p>
    <w:p>
      <w:pPr>
        <w:pStyle w:val="Normal"/>
        <w:rPr>
          <w:rFonts w:ascii="Tahoma" w:hAnsi="Tahoma" w:cs="Tahoma"/>
          <w:b/>
          <w:color w:val="808080"/>
          <w:sz w:val="28"/>
        </w:rPr>
      </w:pPr>
      <w:r>
        <w:rPr>
          <w:rFonts w:cs="Tahoma" w:ascii="Tahoma" w:hAnsi="Tahoma"/>
          <w:b/>
          <w:color w:val="808080"/>
          <w:sz w:val="28"/>
        </w:rPr>
      </w:r>
    </w:p>
    <w:p>
      <w:pPr>
        <w:pStyle w:val="Heading5"/>
        <w:ind w:hanging="0" w:start="0"/>
        <w:rPr/>
      </w:pPr>
      <w:r>
        <w:rPr/>
        <w:t>Credit Risk</w:t>
      </w:r>
    </w:p>
    <w:p>
      <w:pPr>
        <w:pStyle w:val="Normal"/>
        <w:rPr>
          <w:rFonts w:ascii="Tahoma" w:hAnsi="Tahoma" w:cs="Tahoma"/>
          <w:b/>
          <w:i/>
          <w:i/>
          <w:color w:val="808080"/>
          <w:sz w:val="28"/>
        </w:rPr>
      </w:pPr>
      <w:r>
        <w:rPr>
          <w:rFonts w:cs="Tahoma" w:ascii="Tahoma" w:hAnsi="Tahoma"/>
          <w:b/>
          <w:i/>
          <w:color w:val="808080"/>
          <w:sz w:val="24"/>
        </w:rPr>
        <w:t>Regulation, Modelling, Stress Testing, Credit Portfolio Management, Credit Derivatives</w:t>
      </w:r>
    </w:p>
    <w:p>
      <w:pPr>
        <w:pStyle w:val="Normal"/>
        <w:rPr>
          <w:rFonts w:ascii="Tahoma" w:hAnsi="Tahoma" w:cs="Tahoma"/>
          <w:b/>
          <w:i/>
          <w:i/>
          <w:color w:val="808080"/>
          <w:sz w:val="24"/>
        </w:rPr>
      </w:pPr>
      <w:r>
        <w:rPr>
          <w:rFonts w:cs="Tahoma" w:ascii="Tahoma" w:hAnsi="Tahoma"/>
          <w:b/>
          <w:i/>
          <w:color w:val="808080"/>
          <w:sz w:val="24"/>
        </w:rPr>
      </w:r>
    </w:p>
    <w:p>
      <w:pPr>
        <w:pStyle w:val="Heading1"/>
        <w:numPr>
          <w:ilvl w:val="0"/>
          <w:numId w:val="26"/>
        </w:numPr>
        <w:rPr>
          <w:rFonts w:ascii="Times New Roman" w:hAnsi="Times New Roman" w:cs="Times New Roman"/>
          <w:b w:val="false"/>
          <w:i w:val="false"/>
          <w:i w:val="false"/>
          <w:color w:val="auto"/>
          <w:sz w:val="24"/>
        </w:rPr>
      </w:pPr>
      <w:r>
        <w:rPr>
          <w:rFonts w:cs="Times New Roman" w:ascii="Times New Roman" w:hAnsi="Times New Roman"/>
          <w:b w:val="false"/>
          <w:i w:val="false"/>
          <w:color w:val="auto"/>
          <w:sz w:val="24"/>
        </w:rPr>
        <w:t>How Electronic Trading is changing the Credit Marketplace</w:t>
      </w:r>
    </w:p>
    <w:p>
      <w:pPr>
        <w:pStyle w:val="Heading1"/>
        <w:ind w:hanging="0" w:start="0"/>
        <w:rPr>
          <w:rFonts w:ascii="Times New Roman" w:hAnsi="Times New Roman" w:cs="Times New Roman"/>
          <w:b w:val="false"/>
          <w:i w:val="false"/>
          <w:i w:val="false"/>
          <w:color w:val="auto"/>
          <w:sz w:val="24"/>
        </w:rPr>
      </w:pPr>
      <w:r>
        <w:rPr>
          <w:rFonts w:cs="Times New Roman" w:ascii="Times New Roman" w:hAnsi="Times New Roman"/>
          <w:b w:val="false"/>
          <w:i w:val="false"/>
          <w:color w:val="auto"/>
          <w:sz w:val="24"/>
        </w:rPr>
      </w:r>
    </w:p>
    <w:p>
      <w:pPr>
        <w:pStyle w:val="Heading1"/>
        <w:numPr>
          <w:ilvl w:val="0"/>
          <w:numId w:val="26"/>
        </w:numPr>
        <w:rPr>
          <w:rFonts w:ascii="Times New Roman" w:hAnsi="Times New Roman" w:cs="Times New Roman"/>
          <w:b w:val="false"/>
          <w:i w:val="false"/>
          <w:i w:val="false"/>
          <w:color w:val="auto"/>
          <w:sz w:val="24"/>
        </w:rPr>
      </w:pPr>
      <w:r>
        <w:rPr>
          <w:rFonts w:cs="Times New Roman" w:ascii="Times New Roman" w:hAnsi="Times New Roman"/>
          <w:b w:val="false"/>
          <w:i w:val="false"/>
          <w:color w:val="auto"/>
          <w:sz w:val="24"/>
        </w:rPr>
        <w:t>The New Regulatory Landscape for Credit Risk – Complying with the New Modelling and Capital Rules and Examining the Outlook for Risk Transfer</w:t>
      </w:r>
    </w:p>
    <w:p>
      <w:pPr>
        <w:pStyle w:val="Heading1"/>
        <w:ind w:hanging="0" w:start="0"/>
        <w:rPr>
          <w:rFonts w:ascii="Times New Roman" w:hAnsi="Times New Roman" w:cs="Times New Roman"/>
          <w:b w:val="false"/>
          <w:i w:val="false"/>
          <w:i w:val="false"/>
          <w:color w:val="auto"/>
          <w:sz w:val="24"/>
        </w:rPr>
      </w:pPr>
      <w:r>
        <w:rPr>
          <w:rFonts w:cs="Times New Roman" w:ascii="Times New Roman" w:hAnsi="Times New Roman"/>
          <w:b w:val="false"/>
          <w:i w:val="false"/>
          <w:color w:val="auto"/>
          <w:sz w:val="24"/>
        </w:rPr>
      </w:r>
    </w:p>
    <w:p>
      <w:pPr>
        <w:pStyle w:val="Heading2"/>
        <w:numPr>
          <w:ilvl w:val="0"/>
          <w:numId w:val="26"/>
        </w:numPr>
        <w:rPr>
          <w:rFonts w:ascii="Times New Roman" w:hAnsi="Times New Roman" w:cs="Times New Roman"/>
          <w:b w:val="false"/>
          <w:i w:val="false"/>
          <w:i w:val="false"/>
          <w:sz w:val="24"/>
        </w:rPr>
      </w:pPr>
      <w:r>
        <w:rPr>
          <w:rFonts w:cs="Times New Roman" w:ascii="Times New Roman" w:hAnsi="Times New Roman"/>
          <w:b w:val="false"/>
          <w:i w:val="false"/>
          <w:sz w:val="24"/>
        </w:rPr>
        <w:t>The Design of an Internal Rating System that meets BIS Requirements</w:t>
      </w:r>
    </w:p>
    <w:p>
      <w:pPr>
        <w:pStyle w:val="Heading8"/>
        <w:ind w:hanging="0" w:start="0"/>
        <w:rPr/>
      </w:pPr>
      <w:r>
        <w:rPr/>
        <w:t>Confirmed:</w:t>
      </w:r>
    </w:p>
    <w:p>
      <w:pPr>
        <w:pStyle w:val="Heading8"/>
        <w:ind w:hanging="0" w:start="0"/>
        <w:rPr/>
      </w:pPr>
      <w:r>
        <w:rPr/>
        <w:t>Robert Mark</w:t>
      </w:r>
      <w:r>
        <w:rPr>
          <w:b w:val="false"/>
          <w:i/>
        </w:rPr>
        <w:t>, Senior Executive Vice President, Chief Risk Officer, Risk Management,</w:t>
      </w:r>
      <w:r>
        <w:rPr/>
        <w:t xml:space="preserve"> CIBC</w:t>
      </w:r>
    </w:p>
    <w:p>
      <w:pPr>
        <w:pStyle w:val="Heading8"/>
        <w:ind w:hanging="0" w:start="0"/>
        <w:rPr/>
      </w:pPr>
      <w:r>
        <w:rPr/>
        <w:t xml:space="preserve">Michel Crouhy, </w:t>
      </w:r>
      <w:r>
        <w:rPr>
          <w:b w:val="false"/>
          <w:i/>
        </w:rPr>
        <w:t>Senior Vice-President, Global Analytics, Market Risk Management Division,</w:t>
      </w:r>
      <w:r>
        <w:rPr/>
        <w:t xml:space="preserve"> CIBC</w:t>
      </w:r>
    </w:p>
    <w:p>
      <w:pPr>
        <w:pStyle w:val="Normal"/>
        <w:rPr/>
      </w:pPr>
      <w:r>
        <w:rPr/>
      </w:r>
    </w:p>
    <w:p>
      <w:pPr>
        <w:pStyle w:val="BodyText"/>
        <w:numPr>
          <w:ilvl w:val="0"/>
          <w:numId w:val="26"/>
        </w:numPr>
        <w:rPr>
          <w:rFonts w:ascii="Times New Roman" w:hAnsi="Times New Roman" w:cs="Times New Roman"/>
          <w:b w:val="false"/>
        </w:rPr>
      </w:pPr>
      <w:r>
        <w:rPr>
          <w:rFonts w:cs="Times New Roman" w:ascii="Times New Roman" w:hAnsi="Times New Roman"/>
          <w:b w:val="false"/>
        </w:rPr>
        <w:t>Back-Testing Internal Rating Systems – Ensuring that your System has Enough and Appropriate Historical Data for Adequate Predictive Power to comply with BIS standards</w:t>
      </w:r>
    </w:p>
    <w:p>
      <w:pPr>
        <w:pStyle w:val="BodyText"/>
        <w:rPr>
          <w:rFonts w:ascii="Times New Roman" w:hAnsi="Times New Roman" w:cs="Times New Roman"/>
          <w:b w:val="false"/>
        </w:rPr>
      </w:pPr>
      <w:r>
        <w:rPr>
          <w:rFonts w:cs="Times New Roman" w:ascii="Times New Roman" w:hAnsi="Times New Roman"/>
          <w:b w:val="false"/>
        </w:rPr>
      </w:r>
    </w:p>
    <w:p>
      <w:pPr>
        <w:pStyle w:val="BodyText"/>
        <w:numPr>
          <w:ilvl w:val="0"/>
          <w:numId w:val="26"/>
        </w:numPr>
        <w:rPr>
          <w:rFonts w:ascii="Times New Roman" w:hAnsi="Times New Roman" w:cs="Times New Roman"/>
          <w:b w:val="false"/>
        </w:rPr>
      </w:pPr>
      <w:r>
        <w:rPr>
          <w:rFonts w:cs="Times New Roman" w:ascii="Times New Roman" w:hAnsi="Times New Roman"/>
          <w:b w:val="false"/>
        </w:rPr>
        <w:t>Tackling the Difficulties in Back-Testing VaR-Based Credit Risk Models to Meet Regulatory Approval</w:t>
      </w:r>
    </w:p>
    <w:p>
      <w:pPr>
        <w:pStyle w:val="Heading1"/>
        <w:ind w:hanging="0" w:start="0"/>
        <w:rPr>
          <w:rFonts w:ascii="Times New Roman" w:hAnsi="Times New Roman" w:cs="Times New Roman"/>
          <w:b w:val="false"/>
          <w:i w:val="false"/>
          <w:i w:val="false"/>
          <w:color w:val="auto"/>
          <w:sz w:val="24"/>
        </w:rPr>
      </w:pPr>
      <w:r>
        <w:rPr>
          <w:rFonts w:cs="Times New Roman" w:ascii="Times New Roman" w:hAnsi="Times New Roman"/>
          <w:b w:val="false"/>
          <w:i w:val="false"/>
          <w:color w:val="auto"/>
          <w:sz w:val="24"/>
        </w:rPr>
      </w:r>
    </w:p>
    <w:p>
      <w:pPr>
        <w:pStyle w:val="Heading1"/>
        <w:numPr>
          <w:ilvl w:val="0"/>
          <w:numId w:val="13"/>
        </w:numPr>
        <w:rPr>
          <w:rFonts w:ascii="Times New Roman" w:hAnsi="Times New Roman" w:cs="Times New Roman"/>
          <w:b w:val="false"/>
          <w:i w:val="false"/>
          <w:i w:val="false"/>
          <w:color w:val="auto"/>
          <w:sz w:val="24"/>
        </w:rPr>
      </w:pPr>
      <w:r>
        <w:rPr>
          <w:rFonts w:cs="Times New Roman" w:ascii="Times New Roman" w:hAnsi="Times New Roman"/>
          <w:b w:val="false"/>
          <w:i w:val="false"/>
          <w:color w:val="auto"/>
          <w:sz w:val="24"/>
        </w:rPr>
        <w:t>Market-Derived Default Pricing for Enhanced Credit Risk Modelling</w:t>
      </w:r>
    </w:p>
    <w:p>
      <w:pPr>
        <w:pStyle w:val="Heading1"/>
        <w:ind w:hanging="0" w:start="0"/>
        <w:rPr>
          <w:rFonts w:ascii="Times New Roman" w:hAnsi="Times New Roman" w:cs="Times New Roman"/>
          <w:b w:val="false"/>
          <w:i w:val="false"/>
          <w:i w:val="false"/>
          <w:color w:val="auto"/>
          <w:sz w:val="24"/>
        </w:rPr>
      </w:pPr>
      <w:r>
        <w:rPr>
          <w:rFonts w:cs="Times New Roman" w:ascii="Times New Roman" w:hAnsi="Times New Roman"/>
          <w:b w:val="false"/>
          <w:i w:val="false"/>
          <w:color w:val="auto"/>
          <w:sz w:val="24"/>
        </w:rPr>
      </w:r>
    </w:p>
    <w:p>
      <w:pPr>
        <w:pStyle w:val="BodyText2"/>
        <w:numPr>
          <w:ilvl w:val="0"/>
          <w:numId w:val="13"/>
        </w:numPr>
        <w:rPr>
          <w:rFonts w:ascii="Times New Roman" w:hAnsi="Times New Roman" w:cs="Times New Roman"/>
          <w:b w:val="false"/>
          <w:color w:val="auto"/>
        </w:rPr>
      </w:pPr>
      <w:r>
        <w:rPr>
          <w:rFonts w:cs="Times New Roman" w:ascii="Times New Roman" w:hAnsi="Times New Roman"/>
          <w:b w:val="false"/>
          <w:color w:val="auto"/>
        </w:rPr>
        <w:t>The RAROC Approach to Credit Pricing, Credit Migration and Default Probability – Different Techniques and Practical Examples</w:t>
      </w:r>
    </w:p>
    <w:p>
      <w:pPr>
        <w:pStyle w:val="Normal"/>
        <w:rPr>
          <w:rFonts w:ascii="Times New Roman" w:hAnsi="Times New Roman" w:cs="Times New Roman"/>
          <w:b/>
          <w:color w:val="auto"/>
          <w:sz w:val="24"/>
        </w:rPr>
      </w:pPr>
      <w:r>
        <w:rPr>
          <w:rFonts w:cs="Times New Roman"/>
          <w:b/>
          <w:color w:val="auto"/>
          <w:sz w:val="24"/>
        </w:rPr>
      </w:r>
    </w:p>
    <w:p>
      <w:pPr>
        <w:pStyle w:val="Heading1"/>
        <w:numPr>
          <w:ilvl w:val="0"/>
          <w:numId w:val="13"/>
        </w:numPr>
        <w:rPr>
          <w:rFonts w:ascii="Times New Roman" w:hAnsi="Times New Roman" w:cs="Times New Roman"/>
          <w:b w:val="false"/>
          <w:i w:val="false"/>
          <w:i w:val="false"/>
          <w:color w:val="auto"/>
          <w:sz w:val="24"/>
        </w:rPr>
      </w:pPr>
      <w:r>
        <w:rPr>
          <w:rFonts w:cs="Times New Roman" w:ascii="Times New Roman" w:hAnsi="Times New Roman"/>
          <w:b w:val="false"/>
          <w:i w:val="false"/>
          <w:color w:val="auto"/>
          <w:sz w:val="24"/>
        </w:rPr>
        <w:t>Tackling the Lack of Credit Risk Data to Accurately Build Credit Curves</w:t>
      </w:r>
    </w:p>
    <w:p>
      <w:pPr>
        <w:pStyle w:val="Heading3"/>
        <w:ind w:hanging="0" w:start="0"/>
        <w:rPr>
          <w:rFonts w:ascii="Times New Roman" w:hAnsi="Times New Roman" w:cs="Times New Roman"/>
          <w:b w:val="false"/>
          <w:i w:val="false"/>
          <w:i w:val="false"/>
          <w:color w:val="auto"/>
          <w:sz w:val="24"/>
        </w:rPr>
      </w:pPr>
      <w:r>
        <w:rPr>
          <w:rFonts w:cs="Times New Roman" w:ascii="Times New Roman" w:hAnsi="Times New Roman"/>
          <w:b w:val="false"/>
          <w:i w:val="false"/>
          <w:color w:val="auto"/>
          <w:sz w:val="24"/>
        </w:rPr>
      </w:r>
    </w:p>
    <w:p>
      <w:pPr>
        <w:pStyle w:val="BodyText"/>
        <w:numPr>
          <w:ilvl w:val="0"/>
          <w:numId w:val="3"/>
        </w:numPr>
        <w:rPr>
          <w:rFonts w:ascii="Times New Roman" w:hAnsi="Times New Roman" w:cs="Times New Roman"/>
          <w:b w:val="false"/>
        </w:rPr>
      </w:pPr>
      <w:r>
        <w:rPr>
          <w:rFonts w:cs="Times New Roman" w:ascii="Times New Roman" w:hAnsi="Times New Roman"/>
          <w:b w:val="false"/>
        </w:rPr>
        <w:t>Credit Risk Modelling And Capital Allocation for the Loan Book – How to Incorporate Credit Derivatives into the Framework</w:t>
      </w:r>
    </w:p>
    <w:p>
      <w:pPr>
        <w:pStyle w:val="Normal"/>
        <w:rPr>
          <w:rFonts w:ascii="Times New Roman" w:hAnsi="Times New Roman" w:cs="Times New Roman"/>
          <w:b/>
          <w:sz w:val="24"/>
        </w:rPr>
      </w:pPr>
      <w:r>
        <w:rPr>
          <w:rFonts w:cs="Times New Roman"/>
          <w:b/>
          <w:sz w:val="24"/>
        </w:rPr>
      </w:r>
    </w:p>
    <w:p>
      <w:pPr>
        <w:pStyle w:val="Heading1"/>
        <w:numPr>
          <w:ilvl w:val="0"/>
          <w:numId w:val="3"/>
        </w:numPr>
        <w:rPr>
          <w:rFonts w:ascii="Times New Roman" w:hAnsi="Times New Roman" w:cs="Times New Roman"/>
          <w:b w:val="false"/>
          <w:i w:val="false"/>
          <w:i w:val="false"/>
          <w:color w:val="auto"/>
          <w:sz w:val="24"/>
        </w:rPr>
      </w:pPr>
      <w:r>
        <w:rPr>
          <w:rFonts w:cs="Times New Roman" w:ascii="Times New Roman" w:hAnsi="Times New Roman"/>
          <w:b w:val="false"/>
          <w:i w:val="false"/>
          <w:color w:val="auto"/>
          <w:sz w:val="24"/>
        </w:rPr>
        <w:t>Tapping the Synthetic Securitisation Market to Manage your Credit Risk – Using CBOs &amp; CLOs</w:t>
      </w:r>
    </w:p>
    <w:p>
      <w:pPr>
        <w:pStyle w:val="BodyText3"/>
        <w:rPr>
          <w:rFonts w:ascii="Times New Roman" w:hAnsi="Times New Roman" w:cs="Times New Roman"/>
          <w:b w:val="false"/>
          <w:i/>
          <w:i/>
          <w:color w:val="auto"/>
          <w:sz w:val="24"/>
        </w:rPr>
      </w:pPr>
      <w:r>
        <w:rPr>
          <w:rFonts w:cs="Times New Roman" w:ascii="Times New Roman" w:hAnsi="Times New Roman"/>
          <w:b w:val="false"/>
          <w:i/>
          <w:color w:val="auto"/>
          <w:sz w:val="24"/>
        </w:rPr>
      </w:r>
    </w:p>
    <w:p>
      <w:pPr>
        <w:pStyle w:val="Heading1"/>
        <w:numPr>
          <w:ilvl w:val="0"/>
          <w:numId w:val="22"/>
        </w:numPr>
        <w:rPr>
          <w:rFonts w:ascii="Times New Roman" w:hAnsi="Times New Roman" w:cs="Times New Roman"/>
          <w:b w:val="false"/>
          <w:i w:val="false"/>
          <w:i w:val="false"/>
          <w:color w:val="auto"/>
          <w:sz w:val="24"/>
        </w:rPr>
      </w:pPr>
      <w:r>
        <w:rPr>
          <w:rFonts w:cs="Times New Roman" w:ascii="Times New Roman" w:hAnsi="Times New Roman"/>
          <w:b w:val="false"/>
          <w:i w:val="false"/>
          <w:color w:val="auto"/>
          <w:sz w:val="24"/>
        </w:rPr>
        <w:t>Advanced Techniques and Innovations for Pricing Credit Derivatives</w:t>
      </w:r>
    </w:p>
    <w:p>
      <w:pPr>
        <w:pStyle w:val="BodyText"/>
        <w:rPr>
          <w:rFonts w:ascii="Times New Roman" w:hAnsi="Times New Roman" w:cs="Times New Roman"/>
          <w:b w:val="false"/>
          <w:i/>
          <w:i/>
          <w:color w:val="auto"/>
          <w:sz w:val="24"/>
        </w:rPr>
      </w:pPr>
      <w:r>
        <w:rPr>
          <w:rFonts w:cs="Times New Roman" w:ascii="Times New Roman" w:hAnsi="Times New Roman"/>
          <w:b w:val="false"/>
          <w:i/>
          <w:color w:val="auto"/>
          <w:sz w:val="24"/>
        </w:rPr>
      </w:r>
    </w:p>
    <w:p>
      <w:pPr>
        <w:pStyle w:val="BodyText"/>
        <w:numPr>
          <w:ilvl w:val="0"/>
          <w:numId w:val="22"/>
        </w:numPr>
        <w:rPr>
          <w:rFonts w:ascii="Times New Roman" w:hAnsi="Times New Roman" w:cs="Times New Roman"/>
          <w:b w:val="false"/>
        </w:rPr>
      </w:pPr>
      <w:r>
        <w:rPr>
          <w:rFonts w:cs="Times New Roman" w:ascii="Times New Roman" w:hAnsi="Times New Roman"/>
          <w:b w:val="false"/>
        </w:rPr>
        <w:t>Examining the Regulatory Treatment of Credit Derivatives</w:t>
      </w:r>
    </w:p>
    <w:p>
      <w:pPr>
        <w:pStyle w:val="BodyText"/>
        <w:rPr>
          <w:rFonts w:ascii="Times New Roman" w:hAnsi="Times New Roman" w:cs="Times New Roman"/>
          <w:b w:val="false"/>
        </w:rPr>
      </w:pPr>
      <w:r>
        <w:rPr>
          <w:rFonts w:cs="Times New Roman" w:ascii="Times New Roman" w:hAnsi="Times New Roman"/>
          <w:b w:val="false"/>
        </w:rPr>
      </w:r>
    </w:p>
    <w:p>
      <w:pPr>
        <w:pStyle w:val="BodyText"/>
        <w:numPr>
          <w:ilvl w:val="0"/>
          <w:numId w:val="22"/>
        </w:numPr>
        <w:rPr>
          <w:rFonts w:ascii="Times New Roman" w:hAnsi="Times New Roman" w:cs="Times New Roman"/>
          <w:b w:val="false"/>
        </w:rPr>
      </w:pPr>
      <w:r>
        <w:rPr>
          <w:rFonts w:cs="Times New Roman" w:ascii="Times New Roman" w:hAnsi="Times New Roman"/>
          <w:b w:val="false"/>
        </w:rPr>
        <w:t>Modelling and Managing the Credit Risk of your Credit Derivatives Book – Liquidity and Arbitrage Concerns</w:t>
      </w:r>
    </w:p>
    <w:p>
      <w:pPr>
        <w:pStyle w:val="BodyText"/>
        <w:rPr>
          <w:rFonts w:ascii="Times New Roman" w:hAnsi="Times New Roman" w:cs="Times New Roman"/>
          <w:b w:val="false"/>
        </w:rPr>
      </w:pPr>
      <w:r>
        <w:rPr>
          <w:rFonts w:cs="Times New Roman" w:ascii="Times New Roman" w:hAnsi="Times New Roman"/>
          <w:b w:val="false"/>
        </w:rPr>
      </w:r>
    </w:p>
    <w:p>
      <w:pPr>
        <w:pStyle w:val="BodyText"/>
        <w:numPr>
          <w:ilvl w:val="0"/>
          <w:numId w:val="4"/>
        </w:numPr>
        <w:rPr>
          <w:rFonts w:ascii="Times New Roman" w:hAnsi="Times New Roman" w:cs="Times New Roman"/>
          <w:b w:val="false"/>
        </w:rPr>
      </w:pPr>
      <w:r>
        <w:rPr>
          <w:rFonts w:cs="Times New Roman" w:ascii="Times New Roman" w:hAnsi="Times New Roman"/>
          <w:b w:val="false"/>
        </w:rPr>
        <w:t>Comparing the Different Approaches to Pricing Loans and Marking-to-Market a Loan Portfolio</w:t>
      </w:r>
    </w:p>
    <w:p>
      <w:pPr>
        <w:pStyle w:val="BodyText"/>
        <w:rPr>
          <w:rFonts w:ascii="Times New Roman" w:hAnsi="Times New Roman" w:cs="Times New Roman"/>
          <w:b w:val="false"/>
        </w:rPr>
      </w:pPr>
      <w:r>
        <w:rPr>
          <w:rFonts w:cs="Times New Roman" w:ascii="Times New Roman" w:hAnsi="Times New Roman"/>
          <w:b w:val="false"/>
        </w:rPr>
      </w:r>
    </w:p>
    <w:p>
      <w:pPr>
        <w:pStyle w:val="BodyText"/>
        <w:numPr>
          <w:ilvl w:val="0"/>
          <w:numId w:val="4"/>
        </w:numPr>
        <w:rPr>
          <w:rFonts w:ascii="Times New Roman" w:hAnsi="Times New Roman" w:cs="Times New Roman"/>
          <w:b w:val="false"/>
        </w:rPr>
      </w:pPr>
      <w:r>
        <w:rPr>
          <w:rFonts w:cs="Times New Roman" w:ascii="Times New Roman" w:hAnsi="Times New Roman"/>
          <w:b w:val="false"/>
        </w:rPr>
        <w:t>Optimising your Balance Sheet through the Securitisation of Loans (CLOs) and other Credit Risk Enhancements (CBOs &amp; Credit Derivatives) for a Loan Portfolio</w:t>
      </w:r>
    </w:p>
    <w:p>
      <w:pPr>
        <w:pStyle w:val="BodyText"/>
        <w:rPr>
          <w:rFonts w:ascii="Times New Roman" w:hAnsi="Times New Roman" w:cs="Times New Roman"/>
          <w:b w:val="false"/>
        </w:rPr>
      </w:pPr>
      <w:r>
        <w:rPr>
          <w:rFonts w:cs="Times New Roman" w:ascii="Times New Roman" w:hAnsi="Times New Roman"/>
          <w:b w:val="false"/>
        </w:rPr>
      </w:r>
    </w:p>
    <w:p>
      <w:pPr>
        <w:pStyle w:val="BodyText"/>
        <w:numPr>
          <w:ilvl w:val="0"/>
          <w:numId w:val="4"/>
        </w:numPr>
        <w:rPr>
          <w:rFonts w:ascii="Times New Roman" w:hAnsi="Times New Roman" w:cs="Times New Roman"/>
          <w:b w:val="false"/>
        </w:rPr>
      </w:pPr>
      <w:r>
        <w:rPr>
          <w:rFonts w:cs="Times New Roman" w:ascii="Times New Roman" w:hAnsi="Times New Roman"/>
          <w:b w:val="false"/>
        </w:rPr>
        <w:t>Transfer Pricing of Loans – Setting Up a Loan Portfolio Management Book to Dynamically Manage Credit Risks in the Banking Book</w:t>
      </w:r>
    </w:p>
    <w:p>
      <w:pPr>
        <w:pStyle w:val="BodyText"/>
        <w:rPr>
          <w:rFonts w:ascii="Times New Roman" w:hAnsi="Times New Roman" w:cs="Times New Roman"/>
          <w:b w:val="false"/>
        </w:rPr>
      </w:pPr>
      <w:r>
        <w:rPr>
          <w:rFonts w:cs="Times New Roman" w:ascii="Times New Roman" w:hAnsi="Times New Roman"/>
          <w:b w:val="false"/>
        </w:rPr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Loan Pooling Clubs – Analysing the Diversification Benefits of Asset Swaps and Dealing with Liquidity Concerns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BodyText"/>
        <w:rPr>
          <w:rFonts w:ascii="Tahoma" w:hAnsi="Tahoma" w:cs="Tahoma"/>
          <w:color w:val="808080"/>
          <w:sz w:val="32"/>
          <w:lang w:val="en-US"/>
        </w:rPr>
      </w:pPr>
      <w:r>
        <w:rPr>
          <w:rFonts w:cs="Tahoma" w:ascii="Tahoma" w:hAnsi="Tahoma"/>
          <w:color w:val="808080"/>
          <w:sz w:val="32"/>
          <w:lang w:val="en-US"/>
        </w:rPr>
        <w:t>Operational Risk</w:t>
      </w:r>
    </w:p>
    <w:p>
      <w:pPr>
        <w:pStyle w:val="BodyText"/>
        <w:rPr>
          <w:rFonts w:ascii="Times New Roman" w:hAnsi="Times New Roman" w:cs="Times New Roman"/>
        </w:rPr>
      </w:pPr>
      <w:r>
        <w:rPr>
          <w:rFonts w:cs="Tahoma" w:ascii="Tahoma" w:hAnsi="Tahoma"/>
          <w:i/>
          <w:color w:val="808080"/>
          <w:lang w:val="en-US"/>
        </w:rPr>
        <w:t>Regulation, Data, Modelling, Validation, EVT</w:t>
      </w:r>
    </w:p>
    <w:p>
      <w:pPr>
        <w:pStyle w:val="BodyText"/>
        <w:rPr>
          <w:rFonts w:ascii="Times New Roman" w:hAnsi="Times New Roman" w:cs="Times New Roman"/>
          <w:b w:val="false"/>
          <w:i/>
          <w:i/>
        </w:rPr>
      </w:pPr>
      <w:r>
        <w:rPr>
          <w:rFonts w:cs="Times New Roman" w:ascii="Times New Roman" w:hAnsi="Times New Roman"/>
          <w:b w:val="false"/>
          <w:i/>
        </w:rPr>
      </w:r>
    </w:p>
    <w:p>
      <w:pPr>
        <w:pStyle w:val="BodyText"/>
        <w:numPr>
          <w:ilvl w:val="0"/>
          <w:numId w:val="25"/>
        </w:numPr>
        <w:rPr>
          <w:rFonts w:ascii="Times New Roman" w:hAnsi="Times New Roman" w:cs="Times New Roman"/>
          <w:b w:val="false"/>
        </w:rPr>
      </w:pPr>
      <w:r>
        <w:rPr>
          <w:rFonts w:cs="Times New Roman" w:ascii="Times New Roman" w:hAnsi="Times New Roman"/>
          <w:b w:val="false"/>
        </w:rPr>
        <w:t>Defining Operational Risk and Setting the Objectives and Framework of a Robust Operational Risk System</w:t>
      </w:r>
    </w:p>
    <w:p>
      <w:pPr>
        <w:pStyle w:val="BodyText"/>
        <w:rPr>
          <w:rFonts w:ascii="Times New Roman" w:hAnsi="Times New Roman" w:cs="Times New Roman"/>
          <w:b w:val="false"/>
        </w:rPr>
      </w:pPr>
      <w:r>
        <w:rPr>
          <w:rFonts w:cs="Times New Roman" w:ascii="Times New Roman" w:hAnsi="Times New Roman"/>
          <w:b w:val="false"/>
        </w:rPr>
      </w:r>
    </w:p>
    <w:p>
      <w:pPr>
        <w:pStyle w:val="BodyText2"/>
        <w:numPr>
          <w:ilvl w:val="0"/>
          <w:numId w:val="25"/>
        </w:numPr>
        <w:rPr>
          <w:rFonts w:ascii="Times New Roman" w:hAnsi="Times New Roman" w:cs="Times New Roman"/>
          <w:b w:val="false"/>
          <w:color w:val="auto"/>
        </w:rPr>
      </w:pPr>
      <w:r>
        <w:rPr>
          <w:rFonts w:cs="Times New Roman" w:ascii="Times New Roman" w:hAnsi="Times New Roman"/>
          <w:b w:val="false"/>
          <w:color w:val="auto"/>
        </w:rPr>
        <w:t>Implementing the New Basel Rules – Complying with Regulatory Demands without Over-Allocating Capital and Understanding Quantification Methods Imposed by the Regulators</w:t>
      </w:r>
    </w:p>
    <w:p>
      <w:pPr>
        <w:pStyle w:val="BodyText2"/>
        <w:rPr>
          <w:rFonts w:ascii="Times New Roman" w:hAnsi="Times New Roman" w:cs="Times New Roman"/>
          <w:b w:val="false"/>
          <w:color w:val="auto"/>
        </w:rPr>
      </w:pPr>
      <w:r>
        <w:rPr>
          <w:rFonts w:cs="Times New Roman" w:ascii="Times New Roman" w:hAnsi="Times New Roman"/>
          <w:b w:val="false"/>
          <w:color w:val="auto"/>
        </w:rPr>
      </w:r>
    </w:p>
    <w:p>
      <w:pPr>
        <w:pStyle w:val="BodyText2"/>
        <w:numPr>
          <w:ilvl w:val="0"/>
          <w:numId w:val="25"/>
        </w:numPr>
        <w:rPr>
          <w:rFonts w:ascii="Times New Roman" w:hAnsi="Times New Roman" w:cs="Times New Roman"/>
          <w:b w:val="false"/>
          <w:color w:val="auto"/>
        </w:rPr>
      </w:pPr>
      <w:r>
        <w:rPr>
          <w:rFonts w:cs="Times New Roman" w:ascii="Times New Roman" w:hAnsi="Times New Roman"/>
          <w:b w:val="false"/>
          <w:color w:val="auto"/>
        </w:rPr>
        <w:t>Understanding the Full Scope of Reputational Risk Events and how they can be Prevented – Data Collection, Risk Indicators, Controls and Establishing a Risk Conscious Culture</w:t>
      </w:r>
    </w:p>
    <w:p>
      <w:pPr>
        <w:pStyle w:val="BodyText2"/>
        <w:rPr>
          <w:rFonts w:ascii="Times New Roman" w:hAnsi="Times New Roman" w:cs="Times New Roman"/>
          <w:b w:val="false"/>
          <w:color w:val="auto"/>
        </w:rPr>
      </w:pPr>
      <w:r>
        <w:rPr>
          <w:rFonts w:cs="Times New Roman" w:ascii="Times New Roman" w:hAnsi="Times New Roman"/>
          <w:b w:val="false"/>
          <w:color w:val="auto"/>
        </w:rPr>
      </w:r>
    </w:p>
    <w:p>
      <w:pPr>
        <w:pStyle w:val="BodyText2"/>
        <w:numPr>
          <w:ilvl w:val="0"/>
          <w:numId w:val="25"/>
        </w:numPr>
        <w:rPr>
          <w:rFonts w:ascii="Times New Roman" w:hAnsi="Times New Roman" w:cs="Times New Roman"/>
          <w:b w:val="false"/>
          <w:color w:val="auto"/>
        </w:rPr>
      </w:pPr>
      <w:r>
        <w:rPr>
          <w:rFonts w:cs="Times New Roman" w:ascii="Times New Roman" w:hAnsi="Times New Roman"/>
          <w:b w:val="false"/>
          <w:color w:val="auto"/>
        </w:rPr>
        <w:t>Enhancing Shareholder Value through a Dynamic Operational Risk Management Function</w:t>
      </w:r>
    </w:p>
    <w:p>
      <w:pPr>
        <w:pStyle w:val="Heading1"/>
        <w:ind w:hanging="0" w:start="0"/>
        <w:rPr>
          <w:rFonts w:ascii="Times New Roman" w:hAnsi="Times New Roman" w:cs="Times New Roman"/>
          <w:b w:val="false"/>
          <w:i w:val="false"/>
          <w:i w:val="false"/>
          <w:color w:val="auto"/>
          <w:sz w:val="24"/>
        </w:rPr>
      </w:pPr>
      <w:r>
        <w:rPr>
          <w:rFonts w:cs="Times New Roman" w:ascii="Times New Roman" w:hAnsi="Times New Roman"/>
          <w:b w:val="false"/>
          <w:i w:val="false"/>
          <w:color w:val="auto"/>
          <w:sz w:val="24"/>
        </w:rPr>
      </w:r>
    </w:p>
    <w:p>
      <w:pPr>
        <w:pStyle w:val="Heading1"/>
        <w:numPr>
          <w:ilvl w:val="0"/>
          <w:numId w:val="24"/>
        </w:numPr>
        <w:rPr>
          <w:rFonts w:ascii="Times New Roman" w:hAnsi="Times New Roman" w:cs="Times New Roman"/>
          <w:b w:val="false"/>
          <w:i w:val="false"/>
          <w:i w:val="false"/>
          <w:color w:val="auto"/>
          <w:sz w:val="24"/>
        </w:rPr>
      </w:pPr>
      <w:r>
        <w:rPr>
          <w:rFonts w:cs="Times New Roman" w:ascii="Times New Roman" w:hAnsi="Times New Roman"/>
          <w:b w:val="false"/>
          <w:i w:val="false"/>
          <w:color w:val="auto"/>
          <w:sz w:val="24"/>
        </w:rPr>
        <w:t>Managing Operational Risk of Trading, Clearing and Settlement Procedures – Is Automation (STP) the Best Mitigation Alternative?</w:t>
      </w:r>
    </w:p>
    <w:p>
      <w:pPr>
        <w:pStyle w:val="Heading1"/>
        <w:ind w:hanging="0" w:start="0"/>
        <w:rPr>
          <w:rFonts w:ascii="Times New Roman" w:hAnsi="Times New Roman" w:cs="Times New Roman"/>
          <w:b w:val="false"/>
          <w:i w:val="false"/>
          <w:i w:val="false"/>
          <w:color w:val="auto"/>
          <w:sz w:val="24"/>
        </w:rPr>
      </w:pPr>
      <w:r>
        <w:rPr>
          <w:rFonts w:cs="Times New Roman" w:ascii="Times New Roman" w:hAnsi="Times New Roman"/>
          <w:b w:val="false"/>
          <w:i w:val="false"/>
          <w:color w:val="auto"/>
          <w:sz w:val="24"/>
        </w:rPr>
      </w:r>
    </w:p>
    <w:p>
      <w:pPr>
        <w:pStyle w:val="Normal"/>
        <w:rPr>
          <w:rFonts w:ascii="Times New Roman" w:hAnsi="Times New Roman" w:cs="Times New Roman"/>
          <w:b/>
          <w:i/>
          <w:i/>
          <w:color w:val="auto"/>
          <w:sz w:val="24"/>
        </w:rPr>
      </w:pPr>
      <w:r>
        <w:rPr>
          <w:rFonts w:cs="Times New Roman"/>
          <w:b/>
          <w:i/>
          <w:color w:val="auto"/>
          <w:sz w:val="24"/>
        </w:rPr>
      </w:r>
    </w:p>
    <w:p>
      <w:pPr>
        <w:pStyle w:val="Heading1"/>
        <w:numPr>
          <w:ilvl w:val="0"/>
          <w:numId w:val="24"/>
        </w:numPr>
        <w:rPr>
          <w:rFonts w:ascii="Times New Roman" w:hAnsi="Times New Roman" w:cs="Times New Roman"/>
          <w:b w:val="false"/>
          <w:i w:val="false"/>
          <w:i w:val="false"/>
          <w:color w:val="auto"/>
          <w:sz w:val="24"/>
        </w:rPr>
      </w:pPr>
      <w:r>
        <w:rPr>
          <w:rFonts w:cs="Times New Roman" w:ascii="Times New Roman" w:hAnsi="Times New Roman"/>
          <w:b w:val="false"/>
          <w:i w:val="false"/>
          <w:color w:val="auto"/>
          <w:sz w:val="24"/>
        </w:rPr>
        <w:t>In-house Operational Risk Data Management – Building a Framework that Optimizes Risk Factor &amp; Loss Data Collection</w:t>
      </w:r>
    </w:p>
    <w:p>
      <w:pPr>
        <w:pStyle w:val="Heading1"/>
        <w:ind w:hanging="0" w:start="0"/>
        <w:rPr>
          <w:rFonts w:ascii="Times New Roman" w:hAnsi="Times New Roman" w:cs="Times New Roman"/>
          <w:b w:val="false"/>
          <w:i w:val="false"/>
          <w:i w:val="false"/>
          <w:color w:val="auto"/>
          <w:sz w:val="24"/>
        </w:rPr>
      </w:pPr>
      <w:r>
        <w:rPr>
          <w:rFonts w:cs="Times New Roman" w:ascii="Times New Roman" w:hAnsi="Times New Roman"/>
          <w:b w:val="false"/>
          <w:i w:val="false"/>
          <w:color w:val="auto"/>
          <w:sz w:val="24"/>
        </w:rPr>
      </w:r>
    </w:p>
    <w:p>
      <w:pPr>
        <w:pStyle w:val="Normal"/>
        <w:numPr>
          <w:ilvl w:val="0"/>
          <w:numId w:val="24"/>
        </w:numPr>
        <w:rPr>
          <w:sz w:val="24"/>
        </w:rPr>
      </w:pPr>
      <w:r>
        <w:rPr>
          <w:sz w:val="24"/>
        </w:rPr>
        <w:t>Using External Data for High-Severity, Low-Probability Catastrophic Operational Risks – Addressing Scaling, Validation and Interpretation Issues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BodyText"/>
        <w:numPr>
          <w:ilvl w:val="0"/>
          <w:numId w:val="24"/>
        </w:numPr>
        <w:rPr>
          <w:rFonts w:ascii="Times New Roman" w:hAnsi="Times New Roman" w:cs="Times New Roman"/>
          <w:b w:val="false"/>
        </w:rPr>
      </w:pPr>
      <w:r>
        <w:rPr>
          <w:rFonts w:cs="Times New Roman" w:ascii="Times New Roman" w:hAnsi="Times New Roman"/>
          <w:b w:val="false"/>
        </w:rPr>
        <w:t>Modelling Operational Risk with Limited Data Sets</w:t>
      </w:r>
    </w:p>
    <w:p>
      <w:pPr>
        <w:pStyle w:val="BodyTex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Confirmed:</w:t>
      </w:r>
    </w:p>
    <w:p>
      <w:pPr>
        <w:pStyle w:val="BodyText"/>
        <w:rPr/>
      </w:pPr>
      <w:r>
        <w:rPr>
          <w:rFonts w:cs="Times New Roman" w:ascii="Times New Roman" w:hAnsi="Times New Roman"/>
        </w:rPr>
        <w:t>M.A.H. Dempster</w:t>
      </w:r>
      <w:r>
        <w:rPr>
          <w:rFonts w:cs="Times New Roman" w:ascii="Times New Roman" w:hAnsi="Times New Roman"/>
          <w:b w:val="false"/>
        </w:rPr>
        <w:t xml:space="preserve">, </w:t>
      </w:r>
      <w:r>
        <w:rPr>
          <w:rFonts w:cs="Times New Roman" w:ascii="Times New Roman" w:hAnsi="Times New Roman"/>
          <w:b w:val="false"/>
          <w:i/>
        </w:rPr>
        <w:t>Professor of Finance, Director of the Centre for Research</w:t>
      </w:r>
      <w:r>
        <w:rPr>
          <w:rFonts w:cs="Times New Roman" w:ascii="Times New Roman" w:hAnsi="Times New Roman"/>
          <w:b w:val="false"/>
        </w:rPr>
        <w:t xml:space="preserve">, </w:t>
      </w:r>
      <w:r>
        <w:rPr>
          <w:rFonts w:cs="Times New Roman" w:ascii="Times New Roman" w:hAnsi="Times New Roman"/>
        </w:rPr>
        <w:t>Judge Institute of Management, University of Cambridge</w:t>
      </w:r>
    </w:p>
    <w:p>
      <w:pPr>
        <w:pStyle w:val="BodyTex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</w:p>
    <w:p>
      <w:pPr>
        <w:pStyle w:val="BodyText"/>
        <w:numPr>
          <w:ilvl w:val="0"/>
          <w:numId w:val="24"/>
        </w:numPr>
        <w:rPr>
          <w:rFonts w:ascii="Times New Roman" w:hAnsi="Times New Roman" w:cs="Times New Roman"/>
          <w:b w:val="false"/>
        </w:rPr>
      </w:pPr>
      <w:r>
        <w:rPr>
          <w:rFonts w:cs="Times New Roman" w:ascii="Times New Roman" w:hAnsi="Times New Roman"/>
          <w:b w:val="false"/>
        </w:rPr>
        <w:t>Data Sharing Consortiums – Increasing the Operational Data Pool, Defining Operational Risk Data Standards, Minimum Thresholds, Data Security and understanding the Legal Issues</w:t>
      </w:r>
    </w:p>
    <w:p>
      <w:pPr>
        <w:pStyle w:val="BodyText"/>
        <w:rPr>
          <w:rFonts w:ascii="Times New Roman" w:hAnsi="Times New Roman" w:cs="Times New Roman"/>
          <w:b w:val="false"/>
        </w:rPr>
      </w:pPr>
      <w:r>
        <w:rPr>
          <w:rFonts w:cs="Times New Roman" w:ascii="Times New Roman" w:hAnsi="Times New Roman"/>
          <w:b w:val="false"/>
        </w:rPr>
      </w:r>
    </w:p>
    <w:p>
      <w:pPr>
        <w:pStyle w:val="BodyText"/>
        <w:numPr>
          <w:ilvl w:val="0"/>
          <w:numId w:val="10"/>
        </w:numPr>
        <w:rPr>
          <w:rFonts w:ascii="Times New Roman" w:hAnsi="Times New Roman" w:cs="Times New Roman"/>
          <w:b w:val="false"/>
        </w:rPr>
      </w:pPr>
      <w:r>
        <w:rPr>
          <w:rFonts w:cs="Times New Roman" w:ascii="Times New Roman" w:hAnsi="Times New Roman"/>
          <w:b w:val="false"/>
        </w:rPr>
        <w:t>Identifying Correlations and Triggers between Key Risk Indicators and Risk Events</w:t>
      </w:r>
    </w:p>
    <w:p>
      <w:pPr>
        <w:pStyle w:val="Normal"/>
        <w:rPr>
          <w:rFonts w:ascii="Times New Roman" w:hAnsi="Times New Roman" w:cs="Times New Roman"/>
          <w:b/>
          <w:sz w:val="24"/>
        </w:rPr>
      </w:pPr>
      <w:r>
        <w:rPr>
          <w:rFonts w:cs="Times New Roman"/>
          <w:b/>
          <w:sz w:val="24"/>
        </w:rPr>
      </w:r>
    </w:p>
    <w:p>
      <w:pPr>
        <w:pStyle w:val="Heading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jc w:val="center"/>
        <w:rPr>
          <w:rFonts w:ascii="Times New Roman" w:hAnsi="Times New Roman" w:cs="Times New Roman"/>
          <w:b w:val="false"/>
          <w:i w:val="false"/>
          <w:i w:val="false"/>
          <w:sz w:val="24"/>
        </w:rPr>
      </w:pPr>
      <w:r>
        <w:rPr>
          <w:rFonts w:cs="Times New Roman" w:ascii="Times New Roman" w:hAnsi="Times New Roman"/>
          <w:i w:val="false"/>
          <w:sz w:val="24"/>
        </w:rPr>
        <w:t>Operational Risk Masterclass</w:t>
      </w:r>
    </w:p>
    <w:p>
      <w:pPr>
        <w:pStyle w:val="Heading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>
          <w:rFonts w:ascii="Times New Roman" w:hAnsi="Times New Roman" w:cs="Times New Roman"/>
          <w:b w:val="false"/>
          <w:i w:val="false"/>
          <w:i w:val="false"/>
          <w:sz w:val="24"/>
        </w:rPr>
      </w:pPr>
      <w:r>
        <w:rPr>
          <w:rFonts w:cs="Times New Roman" w:ascii="Times New Roman" w:hAnsi="Times New Roman"/>
          <w:b w:val="false"/>
          <w:i w:val="false"/>
          <w:sz w:val="24"/>
        </w:rPr>
      </w:r>
    </w:p>
    <w:p>
      <w:pPr>
        <w:pStyle w:val="Heading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jc w:val="center"/>
        <w:rPr>
          <w:rFonts w:ascii="Times New Roman" w:hAnsi="Times New Roman" w:cs="Times New Roman"/>
          <w:i w:val="false"/>
          <w:i w:val="false"/>
          <w:sz w:val="24"/>
          <w:u w:val="single"/>
        </w:rPr>
      </w:pPr>
      <w:r>
        <w:rPr>
          <w:rFonts w:cs="Times New Roman" w:ascii="Times New Roman" w:hAnsi="Times New Roman"/>
          <w:i w:val="false"/>
          <w:sz w:val="24"/>
          <w:u w:val="single"/>
        </w:rPr>
        <w:t>Modelling Operational Risk – Appraising the Different Techniques</w:t>
      </w:r>
    </w:p>
    <w:p>
      <w:pPr>
        <w:pStyle w:val="BodyText3"/>
        <w:pBdr>
          <w:top w:val="single" w:sz="4" w:space="31" w:color="000000"/>
          <w:left w:val="single" w:sz="4" w:space="4" w:color="000000"/>
          <w:bottom w:val="single" w:sz="4" w:space="8" w:color="000000"/>
          <w:right w:val="single" w:sz="4" w:space="4" w:color="000000"/>
        </w:pBdr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Quality control and causal modelling using ‘Bayesian Networks’</w:t>
      </w:r>
    </w:p>
    <w:p>
      <w:pPr>
        <w:pStyle w:val="BodyText3"/>
        <w:numPr>
          <w:ilvl w:val="0"/>
          <w:numId w:val="19"/>
        </w:numPr>
        <w:pBdr>
          <w:top w:val="single" w:sz="4" w:space="31" w:color="000000"/>
          <w:left w:val="single" w:sz="4" w:space="4" w:color="000000"/>
          <w:bottom w:val="single" w:sz="4" w:space="8" w:color="000000"/>
          <w:right w:val="single" w:sz="4" w:space="4" w:color="000000"/>
        </w:pBdr>
        <w:rPr>
          <w:rFonts w:ascii="Times New Roman" w:hAnsi="Times New Roman" w:cs="Times New Roman"/>
          <w:b w:val="false"/>
          <w:color w:val="auto"/>
        </w:rPr>
      </w:pPr>
      <w:r>
        <w:rPr>
          <w:rFonts w:cs="Times New Roman" w:ascii="Times New Roman" w:hAnsi="Times New Roman"/>
          <w:b w:val="false"/>
          <w:color w:val="auto"/>
        </w:rPr>
        <w:t>Examining the operational risk associated with value-adding processes and aggregating the business unit results</w:t>
      </w:r>
    </w:p>
    <w:p>
      <w:pPr>
        <w:pStyle w:val="Normal"/>
        <w:numPr>
          <w:ilvl w:val="0"/>
          <w:numId w:val="32"/>
        </w:numPr>
        <w:pBdr>
          <w:top w:val="single" w:sz="4" w:space="31" w:color="000000"/>
          <w:left w:val="single" w:sz="4" w:space="4" w:color="000000"/>
          <w:bottom w:val="single" w:sz="4" w:space="8" w:color="000000"/>
          <w:right w:val="single" w:sz="4" w:space="4" w:color="000000"/>
        </w:pBdr>
        <w:rPr>
          <w:sz w:val="24"/>
        </w:rPr>
      </w:pPr>
      <w:r>
        <w:rPr>
          <w:sz w:val="24"/>
        </w:rPr>
        <w:t>Modelling errors and omissions to determine behaviour of the process components and identify problem areas</w:t>
      </w:r>
    </w:p>
    <w:p>
      <w:pPr>
        <w:pStyle w:val="Normal"/>
        <w:numPr>
          <w:ilvl w:val="0"/>
          <w:numId w:val="32"/>
        </w:numPr>
        <w:pBdr>
          <w:top w:val="single" w:sz="4" w:space="31" w:color="000000"/>
          <w:left w:val="single" w:sz="4" w:space="4" w:color="000000"/>
          <w:bottom w:val="single" w:sz="4" w:space="8" w:color="000000"/>
          <w:right w:val="single" w:sz="4" w:space="4" w:color="000000"/>
        </w:pBdr>
        <w:rPr>
          <w:sz w:val="24"/>
        </w:rPr>
      </w:pPr>
      <w:r>
        <w:rPr>
          <w:sz w:val="24"/>
        </w:rPr>
        <w:t>Using scenarios and simulation to project process behaviour into the future</w:t>
      </w:r>
    </w:p>
    <w:p>
      <w:pPr>
        <w:pStyle w:val="BodyText2"/>
        <w:numPr>
          <w:ilvl w:val="0"/>
          <w:numId w:val="29"/>
        </w:numPr>
        <w:pBdr>
          <w:top w:val="single" w:sz="4" w:space="31" w:color="000000"/>
          <w:left w:val="single" w:sz="4" w:space="4" w:color="000000"/>
          <w:bottom w:val="single" w:sz="4" w:space="8" w:color="000000"/>
          <w:right w:val="single" w:sz="4" w:space="4" w:color="000000"/>
        </w:pBdr>
        <w:rPr>
          <w:rFonts w:ascii="Times New Roman" w:hAnsi="Times New Roman" w:cs="Times New Roman"/>
          <w:b w:val="false"/>
          <w:color w:val="auto"/>
        </w:rPr>
      </w:pPr>
      <w:r>
        <w:rPr>
          <w:rFonts w:cs="Times New Roman" w:ascii="Times New Roman" w:hAnsi="Times New Roman"/>
          <w:b w:val="false"/>
          <w:color w:val="auto"/>
        </w:rPr>
        <w:t>Creating a framework to link components in order to estimate potential losses for the entire business model</w:t>
      </w:r>
    </w:p>
    <w:p>
      <w:pPr>
        <w:pStyle w:val="BodyText2"/>
        <w:numPr>
          <w:ilvl w:val="0"/>
          <w:numId w:val="29"/>
        </w:numPr>
        <w:pBdr>
          <w:top w:val="single" w:sz="4" w:space="31" w:color="000000"/>
          <w:left w:val="single" w:sz="4" w:space="4" w:color="000000"/>
          <w:bottom w:val="single" w:sz="4" w:space="8" w:color="000000"/>
          <w:right w:val="single" w:sz="4" w:space="4" w:color="000000"/>
        </w:pBdr>
        <w:rPr>
          <w:rFonts w:ascii="Times New Roman" w:hAnsi="Times New Roman" w:cs="Times New Roman"/>
          <w:b w:val="false"/>
          <w:color w:val="auto"/>
        </w:rPr>
      </w:pPr>
      <w:r>
        <w:rPr>
          <w:rFonts w:cs="Times New Roman" w:ascii="Times New Roman" w:hAnsi="Times New Roman"/>
          <w:b w:val="false"/>
          <w:color w:val="auto"/>
        </w:rPr>
        <w:t>Linking process losses to excess loss models such as EVT</w:t>
      </w:r>
    </w:p>
    <w:p>
      <w:pPr>
        <w:pStyle w:val="BodyText2"/>
        <w:numPr>
          <w:ilvl w:val="0"/>
          <w:numId w:val="29"/>
        </w:numPr>
        <w:pBdr>
          <w:top w:val="single" w:sz="4" w:space="31" w:color="000000"/>
          <w:left w:val="single" w:sz="4" w:space="4" w:color="000000"/>
          <w:bottom w:val="single" w:sz="4" w:space="8" w:color="000000"/>
          <w:right w:val="single" w:sz="4" w:space="4" w:color="000000"/>
        </w:pBdr>
        <w:rPr>
          <w:rFonts w:ascii="Times New Roman" w:hAnsi="Times New Roman" w:cs="Times New Roman"/>
          <w:b w:val="false"/>
          <w:color w:val="auto"/>
        </w:rPr>
      </w:pPr>
      <w:r>
        <w:rPr>
          <w:rFonts w:cs="Times New Roman" w:ascii="Times New Roman" w:hAnsi="Times New Roman"/>
          <w:b w:val="false"/>
          <w:color w:val="auto"/>
        </w:rPr>
      </w:r>
    </w:p>
    <w:p>
      <w:pPr>
        <w:pStyle w:val="Normal"/>
        <w:pBdr>
          <w:top w:val="single" w:sz="4" w:space="31" w:color="000000"/>
          <w:left w:val="single" w:sz="4" w:space="4" w:color="000000"/>
          <w:bottom w:val="single" w:sz="4" w:space="8" w:color="000000"/>
          <w:right w:val="single" w:sz="4" w:space="4" w:color="000000"/>
        </w:pBdr>
        <w:rPr/>
      </w:pPr>
      <w:r>
        <w:rPr>
          <w:b/>
          <w:sz w:val="24"/>
        </w:rPr>
        <w:t>Confirmed: Dr Jack L. King,</w:t>
      </w:r>
      <w:r>
        <w:rPr>
          <w:sz w:val="24"/>
        </w:rPr>
        <w:t xml:space="preserve"> </w:t>
      </w:r>
      <w:r>
        <w:rPr>
          <w:i/>
          <w:sz w:val="24"/>
        </w:rPr>
        <w:t>Managing Director</w:t>
      </w:r>
      <w:r>
        <w:rPr>
          <w:sz w:val="24"/>
        </w:rPr>
        <w:t>,</w:t>
      </w:r>
      <w:r>
        <w:rPr>
          <w:b/>
          <w:sz w:val="24"/>
        </w:rPr>
        <w:t xml:space="preserve"> Genoa (UK) Ltd</w:t>
      </w:r>
    </w:p>
    <w:p>
      <w:pPr>
        <w:pStyle w:val="Normal"/>
        <w:pBdr>
          <w:top w:val="single" w:sz="4" w:space="31" w:color="000000"/>
          <w:left w:val="single" w:sz="4" w:space="4" w:color="000000"/>
          <w:bottom w:val="single" w:sz="4" w:space="8" w:color="000000"/>
          <w:right w:val="single" w:sz="4" w:space="4" w:color="000000"/>
        </w:pBdr>
        <w:rPr>
          <w:b/>
          <w:sz w:val="24"/>
        </w:rPr>
      </w:pPr>
      <w:r>
        <w:rPr>
          <w:b/>
          <w:sz w:val="24"/>
        </w:rPr>
      </w:r>
    </w:p>
    <w:p>
      <w:pPr>
        <w:pStyle w:val="BodyText2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The ‘Factor’ or ‘Parametric’ Approach: Linking the Level of Operational Risk for a Given Company to a Set of Factors or ‘Risk Indicators’ in an Equation</w:t>
      </w:r>
    </w:p>
    <w:p>
      <w:pPr>
        <w:pStyle w:val="BodyText2"/>
        <w:numPr>
          <w:ilvl w:val="0"/>
          <w:numId w:val="29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b w:val="false"/>
          <w:color w:val="auto"/>
        </w:rPr>
      </w:pPr>
      <w:r>
        <w:rPr>
          <w:rFonts w:cs="Times New Roman" w:ascii="Times New Roman" w:hAnsi="Times New Roman"/>
          <w:b w:val="false"/>
          <w:color w:val="auto"/>
        </w:rPr>
        <w:t>Identifying the factors or ‘risk indicators’ to create the equation and estimate expected losses</w:t>
      </w:r>
    </w:p>
    <w:p>
      <w:pPr>
        <w:pStyle w:val="BodyText2"/>
        <w:numPr>
          <w:ilvl w:val="0"/>
          <w:numId w:val="29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b w:val="false"/>
          <w:color w:val="auto"/>
        </w:rPr>
      </w:pPr>
      <w:r>
        <w:rPr>
          <w:rFonts w:cs="Times New Roman" w:ascii="Times New Roman" w:hAnsi="Times New Roman"/>
          <w:b w:val="false"/>
          <w:color w:val="auto"/>
        </w:rPr>
        <w:t>Estimating expected losses using ‘CAPM-like’ models: relating volatility of share returns to operational risk factors</w:t>
      </w:r>
    </w:p>
    <w:p>
      <w:pPr>
        <w:pStyle w:val="BodyText2"/>
        <w:numPr>
          <w:ilvl w:val="0"/>
          <w:numId w:val="29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b w:val="false"/>
          <w:color w:val="auto"/>
        </w:rPr>
      </w:pPr>
      <w:r>
        <w:rPr>
          <w:rFonts w:cs="Times New Roman" w:ascii="Times New Roman" w:hAnsi="Times New Roman"/>
          <w:b w:val="false"/>
          <w:color w:val="auto"/>
        </w:rPr>
        <w:t>Using ‘predictive models’ to identify loss trigger factors</w:t>
      </w:r>
    </w:p>
    <w:p>
      <w:pPr>
        <w:pStyle w:val="BodyText2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b w:val="false"/>
          <w:color w:val="auto"/>
        </w:rPr>
      </w:pPr>
      <w:r>
        <w:rPr>
          <w:rFonts w:cs="Times New Roman" w:ascii="Times New Roman" w:hAnsi="Times New Roman"/>
          <w:b w:val="false"/>
          <w:color w:val="auto"/>
        </w:rPr>
      </w:r>
    </w:p>
    <w:p>
      <w:pPr>
        <w:pStyle w:val="BodyText2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Mathematical Methods for Modeling and Measuring Operational Risk</w:t>
      </w:r>
    </w:p>
    <w:p>
      <w:pPr>
        <w:pStyle w:val="BodyText2"/>
        <w:numPr>
          <w:ilvl w:val="0"/>
          <w:numId w:val="29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b w:val="false"/>
          <w:color w:val="auto"/>
        </w:rPr>
      </w:pPr>
      <w:r>
        <w:rPr>
          <w:rFonts w:cs="Times New Roman" w:ascii="Times New Roman" w:hAnsi="Times New Roman"/>
          <w:b w:val="false"/>
          <w:color w:val="auto"/>
        </w:rPr>
        <w:t>Database modeling techniques</w:t>
      </w:r>
    </w:p>
    <w:p>
      <w:pPr>
        <w:pStyle w:val="BodyText2"/>
        <w:numPr>
          <w:ilvl w:val="0"/>
          <w:numId w:val="29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b w:val="false"/>
          <w:color w:val="auto"/>
        </w:rPr>
      </w:pPr>
      <w:r>
        <w:rPr>
          <w:rFonts w:cs="Times New Roman" w:ascii="Times New Roman" w:hAnsi="Times New Roman"/>
          <w:b w:val="false"/>
          <w:color w:val="auto"/>
        </w:rPr>
        <w:t>Monte Carlo methods for Operational Risk</w:t>
      </w:r>
    </w:p>
    <w:p>
      <w:pPr>
        <w:pStyle w:val="BodyText2"/>
        <w:numPr>
          <w:ilvl w:val="0"/>
          <w:numId w:val="29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b w:val="false"/>
          <w:color w:val="auto"/>
        </w:rPr>
      </w:pPr>
      <w:r>
        <w:rPr>
          <w:rFonts w:cs="Times New Roman" w:ascii="Times New Roman" w:hAnsi="Times New Roman"/>
          <w:b w:val="false"/>
          <w:color w:val="auto"/>
        </w:rPr>
        <w:t>Actuarial techniques</w:t>
      </w:r>
    </w:p>
    <w:p>
      <w:pPr>
        <w:pStyle w:val="BodyText2"/>
        <w:numPr>
          <w:ilvl w:val="0"/>
          <w:numId w:val="29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b w:val="false"/>
          <w:color w:val="auto"/>
        </w:rPr>
      </w:pPr>
      <w:r>
        <w:rPr>
          <w:rFonts w:cs="Times New Roman" w:ascii="Times New Roman" w:hAnsi="Times New Roman"/>
          <w:b w:val="false"/>
          <w:color w:val="auto"/>
        </w:rPr>
        <w:t>Deriving an operational VaR</w:t>
      </w:r>
    </w:p>
    <w:p>
      <w:pPr>
        <w:pStyle w:val="BodyText2"/>
        <w:numPr>
          <w:ilvl w:val="0"/>
          <w:numId w:val="29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b w:val="false"/>
          <w:color w:val="auto"/>
        </w:rPr>
      </w:pPr>
      <w:r>
        <w:rPr>
          <w:rFonts w:cs="Times New Roman" w:ascii="Times New Roman" w:hAnsi="Times New Roman"/>
          <w:b w:val="false"/>
          <w:color w:val="auto"/>
        </w:rPr>
        <w:t>Econometric modeling</w:t>
      </w:r>
    </w:p>
    <w:p>
      <w:pPr>
        <w:pStyle w:val="BodyText2"/>
        <w:numPr>
          <w:ilvl w:val="0"/>
          <w:numId w:val="29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b w:val="false"/>
          <w:color w:val="auto"/>
        </w:rPr>
      </w:pPr>
      <w:r>
        <w:rPr>
          <w:rFonts w:cs="Times New Roman" w:ascii="Times New Roman" w:hAnsi="Times New Roman"/>
          <w:b w:val="false"/>
          <w:color w:val="auto"/>
        </w:rPr>
        <w:t>Hedging operational risk with operational derivatives</w:t>
      </w:r>
    </w:p>
    <w:p>
      <w:pPr>
        <w:pStyle w:val="Heading3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i w:val="false"/>
          <w:sz w:val="24"/>
        </w:rPr>
        <w:t>Confirmed: Dr Marcelo Cruz,</w:t>
      </w:r>
      <w:r>
        <w:rPr>
          <w:rFonts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b w:val="false"/>
          <w:sz w:val="24"/>
        </w:rPr>
        <w:t>Director of Operational Risk</w:t>
      </w:r>
      <w:r>
        <w:rPr>
          <w:rFonts w:cs="Times New Roman" w:ascii="Times New Roman" w:hAnsi="Times New Roman"/>
          <w:b w:val="false"/>
          <w:i w:val="false"/>
          <w:sz w:val="24"/>
        </w:rPr>
        <w:t xml:space="preserve">, </w:t>
      </w:r>
      <w:r>
        <w:rPr>
          <w:rFonts w:cs="Times New Roman" w:ascii="Times New Roman" w:hAnsi="Times New Roman"/>
          <w:i w:val="false"/>
          <w:sz w:val="24"/>
        </w:rPr>
        <w:t>Warburg Dillon Read</w:t>
      </w:r>
    </w:p>
    <w:p>
      <w:pPr>
        <w:pStyle w:val="BodyText2"/>
        <w:rPr>
          <w:rFonts w:ascii="Times New Roman" w:hAnsi="Times New Roman" w:cs="Times New Roman"/>
          <w:b w:val="false"/>
          <w:color w:val="auto"/>
          <w:sz w:val="24"/>
        </w:rPr>
      </w:pPr>
      <w:r>
        <w:rPr>
          <w:rFonts w:cs="Times New Roman" w:ascii="Times New Roman" w:hAnsi="Times New Roman"/>
          <w:b w:val="false"/>
          <w:color w:val="auto"/>
          <w:sz w:val="24"/>
        </w:rPr>
      </w:r>
    </w:p>
    <w:p>
      <w:pPr>
        <w:pStyle w:val="BodyText2"/>
        <w:numPr>
          <w:ilvl w:val="0"/>
          <w:numId w:val="18"/>
        </w:numPr>
        <w:rPr>
          <w:rFonts w:ascii="Times New Roman" w:hAnsi="Times New Roman" w:cs="Times New Roman"/>
          <w:b w:val="false"/>
          <w:color w:val="auto"/>
        </w:rPr>
      </w:pPr>
      <w:r>
        <w:rPr>
          <w:rFonts w:cs="Times New Roman" w:ascii="Times New Roman" w:hAnsi="Times New Roman"/>
          <w:b w:val="false"/>
          <w:color w:val="auto"/>
        </w:rPr>
        <w:t>Incorporating Extreme Events into the Operational Risk Modelling Framework – Using EVT for Low-Frequency High-Severity Events and More Accurate Loss Distributions</w:t>
      </w:r>
    </w:p>
    <w:p>
      <w:pPr>
        <w:pStyle w:val="Normal"/>
        <w:rPr>
          <w:rFonts w:ascii="Times New Roman" w:hAnsi="Times New Roman" w:cs="Times New Roman"/>
          <w:b/>
          <w:color w:val="auto"/>
          <w:sz w:val="24"/>
        </w:rPr>
      </w:pPr>
      <w:r>
        <w:rPr>
          <w:rFonts w:cs="Times New Roman"/>
          <w:b/>
          <w:color w:val="auto"/>
          <w:sz w:val="24"/>
        </w:rPr>
      </w:r>
    </w:p>
    <w:p>
      <w:pPr>
        <w:pStyle w:val="Heading3"/>
        <w:numPr>
          <w:ilvl w:val="0"/>
          <w:numId w:val="18"/>
        </w:numPr>
        <w:rPr>
          <w:rFonts w:ascii="Times New Roman" w:hAnsi="Times New Roman" w:cs="Times New Roman"/>
          <w:b w:val="false"/>
          <w:i w:val="false"/>
          <w:i w:val="false"/>
          <w:sz w:val="24"/>
        </w:rPr>
      </w:pPr>
      <w:r>
        <w:rPr>
          <w:rFonts w:cs="Times New Roman" w:ascii="Times New Roman" w:hAnsi="Times New Roman"/>
          <w:b w:val="false"/>
          <w:i w:val="false"/>
          <w:sz w:val="24"/>
        </w:rPr>
        <w:t>Effective Back-Testing and Validation of Operational Risk Models</w:t>
      </w:r>
    </w:p>
    <w:p>
      <w:pPr>
        <w:pStyle w:val="Normal"/>
        <w:rPr>
          <w:rFonts w:ascii="Times New Roman" w:hAnsi="Times New Roman" w:cs="Times New Roman"/>
          <w:b/>
          <w:i/>
          <w:i/>
          <w:sz w:val="24"/>
        </w:rPr>
      </w:pPr>
      <w:r>
        <w:rPr>
          <w:rFonts w:cs="Times New Roman"/>
          <w:b/>
          <w:i/>
          <w:sz w:val="24"/>
        </w:rPr>
      </w:r>
    </w:p>
    <w:p>
      <w:pPr>
        <w:pStyle w:val="BodyText"/>
        <w:numPr>
          <w:ilvl w:val="0"/>
          <w:numId w:val="18"/>
        </w:numPr>
        <w:rPr>
          <w:rFonts w:ascii="Times New Roman" w:hAnsi="Times New Roman" w:cs="Times New Roman"/>
          <w:b w:val="false"/>
        </w:rPr>
      </w:pPr>
      <w:r>
        <w:rPr>
          <w:rFonts w:cs="Times New Roman" w:ascii="Times New Roman" w:hAnsi="Times New Roman"/>
          <w:b w:val="false"/>
        </w:rPr>
        <w:t>Benchmarking &amp; Performance Measurement for Operational Risk</w:t>
      </w:r>
    </w:p>
    <w:p>
      <w:pPr>
        <w:pStyle w:val="BodyText"/>
        <w:rPr>
          <w:rFonts w:ascii="Times New Roman" w:hAnsi="Times New Roman" w:cs="Times New Roman"/>
          <w:b w:val="false"/>
        </w:rPr>
      </w:pPr>
      <w:r>
        <w:rPr>
          <w:rFonts w:cs="Times New Roman" w:ascii="Times New Roman" w:hAnsi="Times New Roman"/>
          <w:b w:val="false"/>
        </w:rPr>
      </w:r>
    </w:p>
    <w:p>
      <w:pPr>
        <w:pStyle w:val="Normal"/>
        <w:numPr>
          <w:ilvl w:val="0"/>
          <w:numId w:val="18"/>
        </w:numPr>
        <w:rPr>
          <w:sz w:val="24"/>
        </w:rPr>
      </w:pPr>
      <w:r>
        <w:rPr>
          <w:sz w:val="24"/>
        </w:rPr>
        <w:t>Operational Risk Transfer for Effective Mitigation – Practical Implementation and Regulatory Issues</w:t>
      </w:r>
    </w:p>
    <w:p>
      <w:pPr>
        <w:pStyle w:val="Heading1"/>
        <w:ind w:hanging="0" w:start="0"/>
        <w:rPr>
          <w:rFonts w:ascii="Times New Roman" w:hAnsi="Times New Roman" w:cs="Times New Roman"/>
          <w:b w:val="false"/>
          <w:color w:val="auto"/>
          <w:sz w:val="24"/>
        </w:rPr>
      </w:pPr>
      <w:r>
        <w:rPr>
          <w:rFonts w:cs="Times New Roman" w:ascii="Times New Roman" w:hAnsi="Times New Roman"/>
          <w:b w:val="false"/>
          <w:color w:val="auto"/>
          <w:sz w:val="24"/>
        </w:rPr>
      </w:r>
    </w:p>
    <w:p>
      <w:pPr>
        <w:pStyle w:val="Heading1"/>
        <w:numPr>
          <w:ilvl w:val="0"/>
          <w:numId w:val="18"/>
        </w:numPr>
        <w:rPr>
          <w:rFonts w:ascii="Times New Roman" w:hAnsi="Times New Roman" w:cs="Times New Roman"/>
          <w:b w:val="false"/>
          <w:i w:val="false"/>
          <w:i w:val="false"/>
          <w:color w:val="auto"/>
          <w:sz w:val="24"/>
        </w:rPr>
      </w:pPr>
      <w:r>
        <w:rPr>
          <w:rFonts w:cs="Times New Roman" w:ascii="Times New Roman" w:hAnsi="Times New Roman"/>
          <w:b w:val="false"/>
          <w:i w:val="false"/>
          <w:color w:val="auto"/>
          <w:sz w:val="24"/>
        </w:rPr>
        <w:t>Tackling and Managing the Operational Risk Inherent in Merger Processes - Dealing with the Upheaval, the Process of Change, Staffing Issues, the Integration of two Different IT Systems and the Potential Loss of Customers</w:t>
      </w:r>
    </w:p>
    <w:p>
      <w:pPr>
        <w:pStyle w:val="Normal"/>
        <w:rPr>
          <w:rFonts w:ascii="Times New Roman" w:hAnsi="Times New Roman" w:cs="Times New Roman"/>
          <w:b/>
          <w:i/>
          <w:i/>
          <w:color w:val="auto"/>
          <w:sz w:val="24"/>
        </w:rPr>
      </w:pPr>
      <w:r>
        <w:rPr>
          <w:rFonts w:cs="Times New Roman"/>
          <w:b/>
          <w:i/>
          <w:color w:val="auto"/>
          <w:sz w:val="24"/>
        </w:rPr>
      </w:r>
    </w:p>
    <w:p>
      <w:pPr>
        <w:pStyle w:val="Normal"/>
        <w:numPr>
          <w:ilvl w:val="0"/>
          <w:numId w:val="18"/>
        </w:numPr>
        <w:rPr>
          <w:sz w:val="24"/>
        </w:rPr>
      </w:pPr>
      <w:r>
        <w:rPr>
          <w:sz w:val="24"/>
        </w:rPr>
        <w:t>Managing the Impact of E-Business for a Holistic Operational Risk Approach</w:t>
      </w:r>
    </w:p>
    <w:p>
      <w:pPr>
        <w:pStyle w:val="Heading3"/>
        <w:numPr>
          <w:ilvl w:val="0"/>
          <w:numId w:val="34"/>
        </w:numPr>
        <w:tabs>
          <w:tab w:val="clear" w:pos="720"/>
          <w:tab w:val="left" w:pos="360" w:leader="none"/>
        </w:tabs>
        <w:ind w:hanging="360" w:start="360" w:end="0"/>
        <w:rPr>
          <w:rFonts w:ascii="Times New Roman" w:hAnsi="Times New Roman" w:cs="Times New Roman"/>
          <w:b w:val="false"/>
          <w:i w:val="false"/>
          <w:i w:val="false"/>
          <w:sz w:val="24"/>
        </w:rPr>
      </w:pPr>
      <w:r>
        <w:rPr>
          <w:rFonts w:cs="Times New Roman" w:ascii="Times New Roman" w:hAnsi="Times New Roman"/>
          <w:b w:val="false"/>
          <w:i w:val="false"/>
          <w:sz w:val="24"/>
        </w:rPr>
        <w:t>Information technology risk – ISP failure</w:t>
      </w:r>
    </w:p>
    <w:p>
      <w:pPr>
        <w:pStyle w:val="Normal"/>
        <w:numPr>
          <w:ilvl w:val="0"/>
          <w:numId w:val="34"/>
        </w:numPr>
        <w:tabs>
          <w:tab w:val="clear" w:pos="720"/>
          <w:tab w:val="left" w:pos="360" w:leader="none"/>
        </w:tabs>
        <w:ind w:hanging="360" w:start="360" w:end="0"/>
        <w:rPr>
          <w:sz w:val="24"/>
        </w:rPr>
      </w:pPr>
      <w:r>
        <w:rPr>
          <w:sz w:val="24"/>
        </w:rPr>
        <w:t>Increasing transaction security – Firewalls/Cryptography</w:t>
      </w:r>
    </w:p>
    <w:p>
      <w:pPr>
        <w:pStyle w:val="Normal"/>
        <w:numPr>
          <w:ilvl w:val="0"/>
          <w:numId w:val="34"/>
        </w:numPr>
        <w:tabs>
          <w:tab w:val="clear" w:pos="720"/>
          <w:tab w:val="left" w:pos="360" w:leader="none"/>
        </w:tabs>
        <w:ind w:hanging="360" w:start="360" w:end="0"/>
        <w:rPr>
          <w:sz w:val="24"/>
        </w:rPr>
      </w:pPr>
      <w:r>
        <w:rPr>
          <w:sz w:val="24"/>
        </w:rPr>
        <w:t>Hacking &amp; fraud</w:t>
      </w:r>
    </w:p>
    <w:p>
      <w:pPr>
        <w:pStyle w:val="Normal"/>
        <w:numPr>
          <w:ilvl w:val="0"/>
          <w:numId w:val="34"/>
        </w:numPr>
        <w:tabs>
          <w:tab w:val="clear" w:pos="720"/>
          <w:tab w:val="left" w:pos="360" w:leader="none"/>
        </w:tabs>
        <w:ind w:hanging="360" w:start="360" w:end="0"/>
        <w:rPr>
          <w:sz w:val="24"/>
        </w:rPr>
      </w:pPr>
      <w:r>
        <w:rPr>
          <w:sz w:val="24"/>
        </w:rPr>
        <w:t>Disaster recovery</w:t>
      </w:r>
    </w:p>
    <w:p>
      <w:pPr>
        <w:pStyle w:val="Normal"/>
        <w:numPr>
          <w:ilvl w:val="0"/>
          <w:numId w:val="34"/>
        </w:numPr>
        <w:tabs>
          <w:tab w:val="clear" w:pos="720"/>
          <w:tab w:val="left" w:pos="360" w:leader="none"/>
        </w:tabs>
        <w:ind w:hanging="360" w:start="360" w:end="0"/>
        <w:rPr>
          <w:sz w:val="24"/>
        </w:rPr>
      </w:pPr>
      <w:r>
        <w:rPr>
          <w:sz w:val="24"/>
        </w:rPr>
        <w:t>Server downtime</w:t>
      </w:r>
    </w:p>
    <w:p>
      <w:pPr>
        <w:pStyle w:val="Normal"/>
        <w:numPr>
          <w:ilvl w:val="0"/>
          <w:numId w:val="34"/>
        </w:numPr>
        <w:tabs>
          <w:tab w:val="clear" w:pos="720"/>
          <w:tab w:val="left" w:pos="360" w:leader="none"/>
        </w:tabs>
        <w:ind w:hanging="360" w:start="360" w:end="0"/>
        <w:rPr>
          <w:sz w:val="24"/>
        </w:rPr>
      </w:pPr>
      <w:r>
        <w:rPr>
          <w:sz w:val="24"/>
        </w:rPr>
        <w:t>Legal issues</w:t>
      </w:r>
    </w:p>
    <w:p>
      <w:pPr>
        <w:pStyle w:val="BodyText2"/>
        <w:rPr>
          <w:rFonts w:ascii="Times New Roman" w:hAnsi="Times New Roman" w:cs="Times New Roman"/>
          <w:b w:val="false"/>
          <w:color w:val="auto"/>
          <w:sz w:val="24"/>
        </w:rPr>
      </w:pPr>
      <w:r>
        <w:rPr>
          <w:rFonts w:cs="Times New Roman" w:ascii="Times New Roman" w:hAnsi="Times New Roman"/>
          <w:b w:val="false"/>
          <w:color w:val="auto"/>
          <w:sz w:val="24"/>
        </w:rPr>
      </w:r>
    </w:p>
    <w:p>
      <w:pPr>
        <w:pStyle w:val="BodyTex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i/>
          <w:i/>
          <w:color w:val="auto"/>
        </w:rPr>
      </w:pPr>
      <w:r>
        <w:rPr>
          <w:rFonts w:cs="Times New Roman" w:ascii="Times New Roman" w:hAnsi="Times New Roman"/>
          <w:i/>
          <w:color w:val="auto"/>
        </w:rPr>
        <w:t>A Day in the Life of an Operational Risk Manager – Open Forum</w:t>
      </w:r>
    </w:p>
    <w:p>
      <w:pPr>
        <w:pStyle w:val="BodyTex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b w:val="false"/>
          <w:i/>
          <w:i/>
          <w:color w:val="auto"/>
        </w:rPr>
      </w:pPr>
      <w:r>
        <w:rPr>
          <w:rFonts w:cs="Times New Roman" w:ascii="Times New Roman" w:hAnsi="Times New Roman"/>
          <w:b w:val="false"/>
          <w:i/>
          <w:color w:val="auto"/>
        </w:rPr>
      </w:r>
    </w:p>
    <w:p>
      <w:pPr>
        <w:pStyle w:val="BodyTex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b w:val="false"/>
          <w:i/>
          <w:i/>
          <w:color w:val="auto"/>
        </w:rPr>
      </w:pPr>
      <w:r>
        <w:rPr>
          <w:rFonts w:cs="Times New Roman" w:ascii="Times New Roman" w:hAnsi="Times New Roman"/>
          <w:b w:val="false"/>
          <w:i/>
          <w:color w:val="auto"/>
        </w:rPr>
        <w:t>Sharing and Debating:</w:t>
      </w:r>
    </w:p>
    <w:p>
      <w:pPr>
        <w:pStyle w:val="Normal"/>
        <w:numPr>
          <w:ilvl w:val="0"/>
          <w:numId w:val="28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</w:rPr>
      </w:pPr>
      <w:r>
        <w:rPr>
          <w:sz w:val="24"/>
        </w:rPr>
        <w:t>Day-to-day problems, insights and practical experience</w:t>
      </w:r>
    </w:p>
    <w:p>
      <w:pPr>
        <w:pStyle w:val="Normal"/>
        <w:numPr>
          <w:ilvl w:val="0"/>
          <w:numId w:val="28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</w:rPr>
      </w:pPr>
      <w:r>
        <w:rPr>
          <w:sz w:val="24"/>
        </w:rPr>
        <w:t>Best practice techniques</w:t>
      </w:r>
    </w:p>
    <w:p>
      <w:pPr>
        <w:pStyle w:val="Normal"/>
        <w:numPr>
          <w:ilvl w:val="0"/>
          <w:numId w:val="28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</w:rPr>
      </w:pPr>
      <w:r>
        <w:rPr>
          <w:sz w:val="24"/>
        </w:rPr>
        <w:t>Tips &amp; shortcuts</w:t>
      </w:r>
    </w:p>
    <w:p>
      <w:pPr>
        <w:pStyle w:val="Normal"/>
        <w:numPr>
          <w:ilvl w:val="0"/>
          <w:numId w:val="28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</w:rPr>
      </w:pPr>
      <w:r>
        <w:rPr>
          <w:sz w:val="24"/>
        </w:rPr>
        <w:t>IT challenges</w:t>
      </w:r>
    </w:p>
    <w:p>
      <w:pPr>
        <w:pStyle w:val="Normal"/>
        <w:numPr>
          <w:ilvl w:val="0"/>
          <w:numId w:val="28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</w:rPr>
      </w:pPr>
      <w:r>
        <w:rPr>
          <w:sz w:val="24"/>
        </w:rPr>
        <w:t>Success stories</w:t>
      </w:r>
    </w:p>
    <w:p>
      <w:pPr>
        <w:pStyle w:val="Normal"/>
        <w:numPr>
          <w:ilvl w:val="0"/>
          <w:numId w:val="28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</w:rPr>
      </w:pPr>
      <w:r>
        <w:rPr>
          <w:sz w:val="24"/>
        </w:rPr>
        <w:t>Common setbacks &amp; pitfalls</w:t>
      </w:r>
    </w:p>
    <w:p>
      <w:pPr>
        <w:pStyle w:val="Normal"/>
        <w:numPr>
          <w:ilvl w:val="0"/>
          <w:numId w:val="28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  <w:sz w:val="24"/>
        </w:rPr>
      </w:pPr>
      <w:r>
        <w:rPr>
          <w:sz w:val="24"/>
        </w:rPr>
        <w:t>Lessons learned</w:t>
      </w:r>
    </w:p>
    <w:p>
      <w:pPr>
        <w:pStyle w:val="Normal"/>
        <w:rPr>
          <w:rFonts w:ascii="Tahoma" w:hAnsi="Tahoma" w:cs="Tahoma"/>
          <w:b/>
          <w:i/>
          <w:i/>
          <w:color w:val="808080"/>
          <w:sz w:val="28"/>
        </w:rPr>
      </w:pPr>
      <w:r>
        <w:rPr>
          <w:rFonts w:cs="Tahoma" w:ascii="Tahoma" w:hAnsi="Tahoma"/>
          <w:b/>
          <w:i/>
          <w:color w:val="808080"/>
          <w:sz w:val="28"/>
        </w:rPr>
      </w:r>
    </w:p>
    <w:p>
      <w:pPr>
        <w:pStyle w:val="Heading6"/>
        <w:ind w:hanging="0" w:start="0"/>
        <w:rPr/>
      </w:pPr>
      <w:r>
        <w:rPr/>
        <w:t>Advanced Asset &amp; Liability Management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Turning the Art of ALM into a Science – Understanding the Theory and Math behind Accurate Interest Rate Risk Management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0"/>
        </w:numPr>
        <w:rPr>
          <w:sz w:val="24"/>
        </w:rPr>
      </w:pPr>
      <w:r>
        <w:rPr>
          <w:sz w:val="24"/>
        </w:rPr>
        <w:t>Using Portfolio Tools to Optimise Your Profile – Examining the Whole Distribution, its Shape and Deviation from Normality for Accurate Risk Assessment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0"/>
        </w:numPr>
        <w:rPr>
          <w:sz w:val="24"/>
        </w:rPr>
      </w:pPr>
      <w:r>
        <w:rPr>
          <w:sz w:val="24"/>
        </w:rPr>
        <w:t>Pricing Techniques and Models for Non-Maturing Assets and Liabilities – Managing the Inherent Interest Rate Risk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1"/>
        </w:numPr>
        <w:rPr>
          <w:sz w:val="24"/>
        </w:rPr>
      </w:pPr>
      <w:r>
        <w:rPr>
          <w:sz w:val="24"/>
        </w:rPr>
        <w:t>FAS 133 – Best Practice, Practical Implementation, Impact on the Balance Sheet, Hedging Issues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Pricing and Hedging Mortgage Risk in Terms of ALM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0"/>
        </w:numPr>
        <w:rPr>
          <w:sz w:val="24"/>
        </w:rPr>
      </w:pPr>
      <w:r>
        <w:rPr>
          <w:sz w:val="24"/>
        </w:rPr>
        <w:t>RAROC Modelling Techniques for Improved Risk Adjusted Performance and Effective Capital Allocation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6"/>
        <w:ind w:hanging="0" w:start="0"/>
        <w:rPr/>
      </w:pPr>
      <w:r>
        <w:rPr/>
        <w:t>Corporate/Energy Risk Management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9"/>
        </w:numPr>
        <w:rPr>
          <w:sz w:val="24"/>
        </w:rPr>
      </w:pPr>
      <w:r>
        <w:rPr>
          <w:sz w:val="24"/>
        </w:rPr>
        <w:t>Modelling Corporate Risk at Ford  – Risk Management from a Shareholder Value Perspective</w:t>
      </w:r>
    </w:p>
    <w:p>
      <w:pPr>
        <w:pStyle w:val="Normal"/>
        <w:rPr/>
      </w:pPr>
      <w:r>
        <w:rPr>
          <w:b/>
          <w:sz w:val="24"/>
        </w:rPr>
        <w:t>Confirmed: Freeman J. Wood</w:t>
      </w:r>
      <w:r>
        <w:rPr>
          <w:sz w:val="24"/>
        </w:rPr>
        <w:t xml:space="preserve">, </w:t>
      </w:r>
      <w:r>
        <w:rPr>
          <w:i/>
          <w:sz w:val="24"/>
        </w:rPr>
        <w:t>Director of Global Risk Management</w:t>
      </w:r>
      <w:r>
        <w:rPr>
          <w:sz w:val="24"/>
        </w:rPr>
        <w:t xml:space="preserve">, </w:t>
      </w:r>
      <w:r>
        <w:rPr>
          <w:b/>
          <w:sz w:val="24"/>
        </w:rPr>
        <w:t>Ford Motor Company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27"/>
        </w:numPr>
        <w:rPr>
          <w:sz w:val="24"/>
        </w:rPr>
      </w:pPr>
      <w:r>
        <w:rPr>
          <w:sz w:val="24"/>
        </w:rPr>
        <w:t>Measuring Energy Risk – Tackling Price Volatility, Adapting VaR, Scenario Modelling and Regulatory Requirements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1"/>
        </w:numPr>
        <w:rPr>
          <w:sz w:val="24"/>
        </w:rPr>
      </w:pPr>
      <w:r>
        <w:rPr>
          <w:sz w:val="24"/>
        </w:rPr>
        <w:t>Forward Pricing – Construction of the Forward Curve, Correlations, Transparency Issues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1"/>
        </w:numPr>
        <w:rPr>
          <w:sz w:val="24"/>
        </w:rPr>
      </w:pPr>
      <w:r>
        <w:rPr>
          <w:sz w:val="24"/>
        </w:rPr>
        <w:t xml:space="preserve">The Volatility Challenge – Modelling Price Volatility and Examining the New Products Designed to Stabilise Volatility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7"/>
        </w:numPr>
        <w:rPr>
          <w:sz w:val="24"/>
        </w:rPr>
      </w:pPr>
      <w:r>
        <w:rPr>
          <w:sz w:val="24"/>
        </w:rPr>
        <w:t>Energy Credit Risk Management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5"/>
        </w:numPr>
        <w:rPr>
          <w:sz w:val="24"/>
        </w:rPr>
      </w:pPr>
      <w:r>
        <w:rPr>
          <w:sz w:val="24"/>
        </w:rPr>
        <w:t>Analyzing the Effects of E-Commerce on Energy Pricing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6"/>
        <w:ind w:hanging="0" w:start="0"/>
        <w:rPr/>
      </w:pPr>
      <w:r>
        <w:rPr/>
        <w:t>Insurance &amp; The Capital Markets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Convergence of Insurance and Capital Markets – What Models are Relevant for both and What are the Opportunities and Risks for Risk Managers?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Alternative Risk Transfer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Weather Risk Securitisation – Examining the New Weather Derivative Products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Transferring Weather Risk to the Capital Markets – Risk Modelling Techniques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8"/>
        </w:numPr>
        <w:rPr>
          <w:sz w:val="24"/>
        </w:rPr>
      </w:pPr>
      <w:r>
        <w:rPr>
          <w:sz w:val="24"/>
        </w:rPr>
        <w:t>Examining the Convergence of Credit Insurance and Credit Derivatives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rFonts w:ascii="Arial" w:hAnsi="Arial" w:cs="Arial"/>
          <w:color w:val="808080"/>
          <w:sz w:val="28"/>
        </w:rPr>
      </w:pPr>
      <w:r>
        <w:rPr>
          <w:color w:val="808080"/>
          <w:sz w:val="28"/>
        </w:rPr>
        <w:t>Applying Investment Banking Risk Techniques to Asset Management Stream</w:t>
      </w:r>
    </w:p>
    <w:p>
      <w:pPr>
        <w:pStyle w:val="Heading2"/>
        <w:ind w:hanging="0" w:start="0"/>
        <w:rPr>
          <w:rFonts w:ascii="Times New Roman" w:hAnsi="Times New Roman" w:cs="Times New Roman"/>
          <w:b w:val="false"/>
          <w:i w:val="false"/>
          <w:i w:val="false"/>
          <w:color w:val="808080"/>
          <w:sz w:val="24"/>
        </w:rPr>
      </w:pPr>
      <w:r>
        <w:rPr>
          <w:rFonts w:cs="Times New Roman" w:ascii="Times New Roman" w:hAnsi="Times New Roman"/>
          <w:b w:val="false"/>
          <w:i w:val="false"/>
          <w:color w:val="808080"/>
          <w:sz w:val="24"/>
        </w:rPr>
      </w:r>
    </w:p>
    <w:p>
      <w:pPr>
        <w:pStyle w:val="Heading2"/>
        <w:numPr>
          <w:ilvl w:val="0"/>
          <w:numId w:val="33"/>
        </w:numPr>
        <w:rPr>
          <w:rFonts w:ascii="Times New Roman" w:hAnsi="Times New Roman" w:cs="Times New Roman"/>
          <w:b w:val="false"/>
          <w:i w:val="false"/>
          <w:i w:val="false"/>
          <w:sz w:val="24"/>
        </w:rPr>
      </w:pPr>
      <w:r>
        <w:rPr>
          <w:rFonts w:cs="Times New Roman" w:ascii="Times New Roman" w:hAnsi="Times New Roman"/>
          <w:b w:val="false"/>
          <w:i w:val="false"/>
          <w:sz w:val="24"/>
        </w:rPr>
        <w:t>Advantages and Disadvantages of Tracking Error Techniques</w:t>
      </w:r>
    </w:p>
    <w:p>
      <w:pPr>
        <w:pStyle w:val="Heading2"/>
        <w:ind w:hanging="0" w:start="0"/>
        <w:rPr>
          <w:rFonts w:ascii="Times New Roman" w:hAnsi="Times New Roman" w:cs="Times New Roman"/>
          <w:b w:val="false"/>
          <w:i w:val="false"/>
          <w:i w:val="false"/>
          <w:sz w:val="24"/>
        </w:rPr>
      </w:pPr>
      <w:r>
        <w:rPr>
          <w:rFonts w:cs="Times New Roman" w:ascii="Times New Roman" w:hAnsi="Times New Roman"/>
          <w:b w:val="false"/>
          <w:i w:val="false"/>
          <w:sz w:val="24"/>
        </w:rPr>
      </w:r>
    </w:p>
    <w:p>
      <w:pPr>
        <w:pStyle w:val="Heading2"/>
        <w:numPr>
          <w:ilvl w:val="0"/>
          <w:numId w:val="33"/>
        </w:numPr>
        <w:rPr>
          <w:rFonts w:ascii="Times New Roman" w:hAnsi="Times New Roman" w:cs="Times New Roman"/>
          <w:b w:val="false"/>
          <w:i w:val="false"/>
          <w:i w:val="false"/>
          <w:sz w:val="24"/>
        </w:rPr>
      </w:pPr>
      <w:r>
        <w:rPr>
          <w:rFonts w:cs="Times New Roman" w:ascii="Times New Roman" w:hAnsi="Times New Roman"/>
          <w:b w:val="false"/>
          <w:i w:val="false"/>
          <w:sz w:val="24"/>
        </w:rPr>
        <w:t>Using VaR Techniques to Supplement Tracking Error in Investment Management – Practical Application and Implementation</w:t>
      </w:r>
    </w:p>
    <w:p>
      <w:pPr>
        <w:pStyle w:val="Heading2"/>
        <w:ind w:hanging="0" w:start="0"/>
        <w:rPr>
          <w:rFonts w:ascii="Times New Roman" w:hAnsi="Times New Roman" w:cs="Times New Roman"/>
          <w:b w:val="false"/>
          <w:i w:val="false"/>
          <w:i w:val="false"/>
          <w:sz w:val="24"/>
        </w:rPr>
      </w:pPr>
      <w:r>
        <w:rPr>
          <w:rFonts w:cs="Times New Roman" w:ascii="Times New Roman" w:hAnsi="Times New Roman"/>
          <w:b w:val="false"/>
          <w:i w:val="false"/>
          <w:sz w:val="24"/>
        </w:rPr>
      </w:r>
    </w:p>
    <w:p>
      <w:pPr>
        <w:pStyle w:val="Heading2"/>
        <w:numPr>
          <w:ilvl w:val="0"/>
          <w:numId w:val="33"/>
        </w:numPr>
        <w:rPr>
          <w:rFonts w:ascii="Times New Roman" w:hAnsi="Times New Roman" w:cs="Times New Roman"/>
          <w:b w:val="false"/>
          <w:i w:val="false"/>
          <w:i w:val="false"/>
          <w:sz w:val="24"/>
        </w:rPr>
      </w:pPr>
      <w:r>
        <w:rPr>
          <w:rFonts w:cs="Times New Roman" w:ascii="Times New Roman" w:hAnsi="Times New Roman"/>
          <w:b w:val="false"/>
          <w:i w:val="false"/>
          <w:sz w:val="24"/>
        </w:rPr>
        <w:t>Deploying VaR to gather Risk Data to Effectively Gauge Risk Tolerance &amp; Exposure and to allow for ‘Top-down’ Re-balancing in the Allocation of Assets</w:t>
      </w:r>
    </w:p>
    <w:p>
      <w:pPr>
        <w:pStyle w:val="Heading2"/>
        <w:ind w:hanging="0" w:start="0"/>
        <w:rPr>
          <w:rFonts w:ascii="Times New Roman" w:hAnsi="Times New Roman" w:cs="Times New Roman"/>
          <w:b w:val="false"/>
          <w:i w:val="false"/>
          <w:i w:val="false"/>
          <w:sz w:val="24"/>
        </w:rPr>
      </w:pPr>
      <w:r>
        <w:rPr>
          <w:rFonts w:cs="Times New Roman" w:ascii="Times New Roman" w:hAnsi="Times New Roman"/>
          <w:b w:val="false"/>
          <w:i w:val="false"/>
          <w:sz w:val="24"/>
        </w:rPr>
      </w:r>
    </w:p>
    <w:p>
      <w:pPr>
        <w:pStyle w:val="Normal"/>
        <w:numPr>
          <w:ilvl w:val="0"/>
          <w:numId w:val="33"/>
        </w:numPr>
        <w:rPr>
          <w:sz w:val="24"/>
        </w:rPr>
      </w:pPr>
      <w:r>
        <w:rPr>
          <w:sz w:val="24"/>
        </w:rPr>
        <w:t>How do you apply VaR to measure Risk across Asset Classes?</w:t>
      </w:r>
    </w:p>
    <w:p>
      <w:pPr>
        <w:pStyle w:val="BodyText2"/>
        <w:rPr>
          <w:rFonts w:ascii="Times New Roman" w:hAnsi="Times New Roman" w:cs="Times New Roman"/>
          <w:color w:val="auto"/>
          <w:sz w:val="24"/>
        </w:rPr>
      </w:pPr>
      <w:r>
        <w:rPr>
          <w:rFonts w:cs="Times New Roman" w:ascii="Times New Roman" w:hAnsi="Times New Roman"/>
          <w:color w:val="auto"/>
          <w:sz w:val="24"/>
        </w:rPr>
      </w:r>
    </w:p>
    <w:p>
      <w:pPr>
        <w:pStyle w:val="BodyText2"/>
        <w:numPr>
          <w:ilvl w:val="0"/>
          <w:numId w:val="33"/>
        </w:numPr>
        <w:rPr>
          <w:rFonts w:ascii="Times New Roman" w:hAnsi="Times New Roman" w:cs="Times New Roman"/>
          <w:b w:val="false"/>
          <w:color w:val="auto"/>
        </w:rPr>
      </w:pPr>
      <w:r>
        <w:rPr>
          <w:rFonts w:cs="Times New Roman" w:ascii="Times New Roman" w:hAnsi="Times New Roman"/>
          <w:b w:val="false"/>
          <w:color w:val="auto"/>
        </w:rPr>
        <w:t>Complementing VaR with Stress Testing to Identify Maximum Limits of Potential Loss and Identify hidden Correlations between Asset Classes that occur only in Market Stress Conditions</w:t>
      </w:r>
    </w:p>
    <w:p>
      <w:pPr>
        <w:pStyle w:val="BodyText2"/>
        <w:rPr>
          <w:rFonts w:ascii="Times New Roman" w:hAnsi="Times New Roman" w:cs="Times New Roman"/>
          <w:b w:val="false"/>
          <w:color w:val="auto"/>
        </w:rPr>
      </w:pPr>
      <w:r>
        <w:rPr>
          <w:rFonts w:cs="Times New Roman" w:ascii="Times New Roman" w:hAnsi="Times New Roman"/>
          <w:b w:val="false"/>
          <w:color w:val="auto"/>
        </w:rPr>
      </w:r>
    </w:p>
    <w:p>
      <w:pPr>
        <w:pStyle w:val="BodyText2"/>
        <w:numPr>
          <w:ilvl w:val="0"/>
          <w:numId w:val="33"/>
        </w:numPr>
        <w:rPr>
          <w:rFonts w:ascii="Times New Roman" w:hAnsi="Times New Roman" w:cs="Times New Roman"/>
          <w:b w:val="false"/>
          <w:color w:val="auto"/>
        </w:rPr>
      </w:pPr>
      <w:r>
        <w:rPr>
          <w:rFonts w:cs="Times New Roman" w:ascii="Times New Roman" w:hAnsi="Times New Roman"/>
          <w:b w:val="false"/>
          <w:color w:val="auto"/>
        </w:rPr>
        <w:t>Using Extreme Value Theory in Asset Management – Beyond Scenario Testing</w:t>
      </w:r>
    </w:p>
    <w:p>
      <w:pPr>
        <w:pStyle w:val="Normal"/>
        <w:rPr>
          <w:rFonts w:ascii="Times New Roman" w:hAnsi="Times New Roman" w:cs="Times New Roman"/>
          <w:b/>
          <w:color w:val="auto"/>
          <w:sz w:val="24"/>
        </w:rPr>
      </w:pPr>
      <w:r>
        <w:rPr>
          <w:rFonts w:cs="Times New Roman"/>
          <w:b/>
          <w:color w:val="auto"/>
          <w:sz w:val="24"/>
        </w:rPr>
      </w:r>
    </w:p>
    <w:p>
      <w:pPr>
        <w:pStyle w:val="BodyText3"/>
        <w:numPr>
          <w:ilvl w:val="0"/>
          <w:numId w:val="33"/>
        </w:numPr>
        <w:rPr>
          <w:rFonts w:ascii="Times New Roman" w:hAnsi="Times New Roman" w:cs="Times New Roman"/>
          <w:b w:val="false"/>
          <w:color w:val="auto"/>
        </w:rPr>
      </w:pPr>
      <w:r>
        <w:rPr>
          <w:rFonts w:cs="Times New Roman" w:ascii="Times New Roman" w:hAnsi="Times New Roman"/>
          <w:b w:val="false"/>
          <w:color w:val="auto"/>
        </w:rPr>
        <w:t>Estimating Style Risk accurately by conducting Style-based VaR Calculations</w:t>
      </w:r>
    </w:p>
    <w:p>
      <w:pPr>
        <w:pStyle w:val="Normal"/>
        <w:rPr>
          <w:rFonts w:ascii="Times New Roman" w:hAnsi="Times New Roman" w:cs="Times New Roman"/>
          <w:b/>
          <w:color w:val="auto"/>
          <w:sz w:val="24"/>
        </w:rPr>
      </w:pPr>
      <w:r>
        <w:rPr>
          <w:rFonts w:cs="Times New Roman"/>
          <w:b/>
          <w:color w:val="auto"/>
          <w:sz w:val="24"/>
        </w:rPr>
      </w:r>
    </w:p>
    <w:p>
      <w:pPr>
        <w:pStyle w:val="BodyText2"/>
        <w:numPr>
          <w:ilvl w:val="0"/>
          <w:numId w:val="33"/>
        </w:numPr>
        <w:rPr>
          <w:rFonts w:ascii="Times New Roman" w:hAnsi="Times New Roman" w:cs="Times New Roman"/>
          <w:b w:val="false"/>
          <w:color w:val="auto"/>
        </w:rPr>
      </w:pPr>
      <w:r>
        <w:rPr>
          <w:rFonts w:cs="Times New Roman" w:ascii="Times New Roman" w:hAnsi="Times New Roman"/>
          <w:b w:val="false"/>
          <w:color w:val="auto"/>
        </w:rPr>
        <w:t>The IT Systems Issue for VaR Implementation – Building from New or Adapting Legacy Systems?</w:t>
      </w:r>
    </w:p>
    <w:p>
      <w:pPr>
        <w:pStyle w:val="Normal"/>
        <w:rPr>
          <w:rFonts w:ascii="Times New Roman" w:hAnsi="Times New Roman" w:cs="Times New Roman"/>
          <w:b/>
          <w:color w:val="auto"/>
          <w:sz w:val="24"/>
        </w:rPr>
      </w:pPr>
      <w:r>
        <w:rPr>
          <w:rFonts w:cs="Times New Roman"/>
          <w:b/>
          <w:color w:val="auto"/>
          <w:sz w:val="24"/>
        </w:rPr>
      </w:r>
    </w:p>
    <w:p>
      <w:pPr>
        <w:pStyle w:val="Heading2"/>
        <w:numPr>
          <w:ilvl w:val="0"/>
          <w:numId w:val="33"/>
        </w:numPr>
        <w:rPr>
          <w:rFonts w:ascii="Times New Roman" w:hAnsi="Times New Roman" w:cs="Times New Roman"/>
          <w:b w:val="false"/>
          <w:i w:val="false"/>
          <w:i w:val="false"/>
          <w:sz w:val="24"/>
        </w:rPr>
      </w:pPr>
      <w:r>
        <w:rPr>
          <w:rFonts w:cs="Times New Roman" w:ascii="Times New Roman" w:hAnsi="Times New Roman"/>
          <w:b w:val="false"/>
          <w:i w:val="false"/>
          <w:sz w:val="24"/>
        </w:rPr>
        <w:t>Estimating Expected Returns with Effective Mean-Variance Optimisation of your Portfolio Performance</w:t>
      </w:r>
    </w:p>
    <w:p>
      <w:pPr>
        <w:pStyle w:val="Normal"/>
        <w:rPr>
          <w:rFonts w:ascii="Times New Roman" w:hAnsi="Times New Roman" w:cs="Times New Roman"/>
          <w:b/>
          <w:i/>
          <w:i/>
          <w:sz w:val="24"/>
        </w:rPr>
      </w:pPr>
      <w:r>
        <w:rPr>
          <w:rFonts w:cs="Times New Roman"/>
          <w:b/>
          <w:i/>
          <w:sz w:val="24"/>
        </w:rPr>
      </w:r>
    </w:p>
    <w:p>
      <w:pPr>
        <w:pStyle w:val="BodyText3"/>
        <w:numPr>
          <w:ilvl w:val="0"/>
          <w:numId w:val="33"/>
        </w:numPr>
        <w:rPr>
          <w:rFonts w:ascii="Times New Roman" w:hAnsi="Times New Roman" w:cs="Times New Roman"/>
          <w:b w:val="false"/>
          <w:color w:val="auto"/>
        </w:rPr>
      </w:pPr>
      <w:r>
        <w:rPr>
          <w:rFonts w:cs="Times New Roman" w:ascii="Times New Roman" w:hAnsi="Times New Roman"/>
          <w:b w:val="false"/>
          <w:color w:val="auto"/>
        </w:rPr>
        <w:t>Portfolio Management Techniques to avoid Underestimation of Investment Risk when Using Factor Models – Spotting Biases, Under-diversification or Themes</w:t>
      </w:r>
    </w:p>
    <w:p>
      <w:pPr>
        <w:pStyle w:val="Normal"/>
        <w:rPr>
          <w:rFonts w:ascii="Times New Roman" w:hAnsi="Times New Roman" w:cs="Times New Roman"/>
          <w:b/>
          <w:color w:val="auto"/>
          <w:sz w:val="24"/>
        </w:rPr>
      </w:pPr>
      <w:r>
        <w:rPr>
          <w:rFonts w:cs="Times New Roman"/>
          <w:b/>
          <w:color w:val="auto"/>
          <w:sz w:val="24"/>
        </w:rPr>
      </w:r>
    </w:p>
    <w:p>
      <w:pPr>
        <w:pStyle w:val="BodyText3"/>
        <w:numPr>
          <w:ilvl w:val="0"/>
          <w:numId w:val="33"/>
        </w:numPr>
        <w:rPr>
          <w:rFonts w:ascii="Times New Roman" w:hAnsi="Times New Roman" w:cs="Times New Roman"/>
          <w:b w:val="false"/>
          <w:color w:val="auto"/>
        </w:rPr>
      </w:pPr>
      <w:r>
        <w:rPr>
          <w:rFonts w:cs="Times New Roman" w:ascii="Times New Roman" w:hAnsi="Times New Roman"/>
          <w:b w:val="false"/>
          <w:color w:val="auto"/>
        </w:rPr>
        <w:t>Applying Derivatives to Reduce Investment Risk and Protection against Catastrophic Downside</w:t>
      </w:r>
    </w:p>
    <w:p>
      <w:pPr>
        <w:pStyle w:val="Normal"/>
        <w:rPr>
          <w:rFonts w:ascii="Times New Roman" w:hAnsi="Times New Roman" w:cs="Times New Roman"/>
          <w:b/>
          <w:color w:val="auto"/>
          <w:sz w:val="24"/>
        </w:rPr>
      </w:pPr>
      <w:r>
        <w:rPr>
          <w:rFonts w:cs="Times New Roman"/>
          <w:b/>
          <w:color w:val="auto"/>
          <w:sz w:val="24"/>
        </w:rPr>
      </w:r>
    </w:p>
    <w:p>
      <w:pPr>
        <w:pStyle w:val="BodyText2"/>
        <w:numPr>
          <w:ilvl w:val="0"/>
          <w:numId w:val="33"/>
        </w:numPr>
        <w:rPr>
          <w:rFonts w:ascii="Times New Roman" w:hAnsi="Times New Roman" w:cs="Times New Roman"/>
          <w:b w:val="false"/>
          <w:color w:val="auto"/>
        </w:rPr>
      </w:pPr>
      <w:r>
        <w:rPr>
          <w:rFonts w:cs="Times New Roman" w:ascii="Times New Roman" w:hAnsi="Times New Roman"/>
          <w:b w:val="false"/>
          <w:color w:val="auto"/>
        </w:rPr>
        <w:t>Predicting the Likely Scope of Future Stock Movements with a GARCH Model for Volatility Estimation - Determining Prediction Intervals</w:t>
      </w:r>
    </w:p>
    <w:p>
      <w:pPr>
        <w:pStyle w:val="BodyText2"/>
        <w:rPr>
          <w:rFonts w:ascii="Times New Roman" w:hAnsi="Times New Roman" w:cs="Times New Roman"/>
          <w:b w:val="false"/>
          <w:color w:val="auto"/>
        </w:rPr>
      </w:pPr>
      <w:r>
        <w:rPr>
          <w:rFonts w:cs="Times New Roman" w:ascii="Times New Roman" w:hAnsi="Times New Roman"/>
          <w:color w:val="auto"/>
        </w:rPr>
        <w:t xml:space="preserve">Confirmed: </w:t>
      </w:r>
    </w:p>
    <w:p>
      <w:pPr>
        <w:pStyle w:val="BodyText2"/>
        <w:rPr>
          <w:rFonts w:ascii="Times New Roman" w:hAnsi="Times New Roman" w:cs="Times New Roman"/>
          <w:b w:val="false"/>
          <w:color w:val="auto"/>
        </w:rPr>
      </w:pPr>
      <w:r>
        <w:rPr>
          <w:rFonts w:cs="Times New Roman" w:ascii="Times New Roman" w:hAnsi="Times New Roman"/>
          <w:color w:val="auto"/>
        </w:rPr>
        <w:t xml:space="preserve">Dr Patrick Burns, Salomon Smith Barney </w:t>
      </w:r>
    </w:p>
    <w:p>
      <w:pPr>
        <w:pStyle w:val="Normal"/>
        <w:rPr>
          <w:rFonts w:ascii="Times New Roman" w:hAnsi="Times New Roman" w:cs="Times New Roman"/>
          <w:b/>
          <w:color w:val="auto"/>
          <w:sz w:val="24"/>
        </w:rPr>
      </w:pPr>
      <w:r>
        <w:rPr>
          <w:rFonts w:cs="Times New Roman"/>
          <w:b/>
          <w:color w:val="auto"/>
          <w:sz w:val="24"/>
        </w:rPr>
      </w:r>
    </w:p>
    <w:p>
      <w:pPr>
        <w:pStyle w:val="Normal"/>
        <w:numPr>
          <w:ilvl w:val="0"/>
          <w:numId w:val="33"/>
        </w:numPr>
        <w:rPr>
          <w:sz w:val="24"/>
        </w:rPr>
      </w:pPr>
      <w:r>
        <w:rPr>
          <w:sz w:val="24"/>
        </w:rPr>
        <w:t>Managing the Currency Risks of Investing in Emerging Markets – Modelling with Fundamental or Statistical Techniques and Dynamic Hedging Strategies</w:t>
      </w:r>
    </w:p>
    <w:p>
      <w:pPr>
        <w:pStyle w:val="BodyText3"/>
        <w:rPr>
          <w:rFonts w:ascii="Times New Roman" w:hAnsi="Times New Roman" w:cs="Times New Roman"/>
          <w:b w:val="false"/>
          <w:color w:val="auto"/>
          <w:sz w:val="24"/>
        </w:rPr>
      </w:pPr>
      <w:r>
        <w:rPr>
          <w:rFonts w:cs="Times New Roman" w:ascii="Times New Roman" w:hAnsi="Times New Roman"/>
          <w:b w:val="false"/>
          <w:color w:val="auto"/>
          <w:sz w:val="24"/>
        </w:rPr>
      </w:r>
    </w:p>
    <w:p>
      <w:pPr>
        <w:pStyle w:val="BodyText3"/>
        <w:numPr>
          <w:ilvl w:val="0"/>
          <w:numId w:val="33"/>
        </w:numPr>
        <w:rPr>
          <w:rFonts w:ascii="Times New Roman" w:hAnsi="Times New Roman" w:cs="Times New Roman"/>
          <w:b w:val="false"/>
          <w:color w:val="auto"/>
        </w:rPr>
      </w:pPr>
      <w:r>
        <w:rPr>
          <w:rFonts w:cs="Times New Roman" w:ascii="Times New Roman" w:hAnsi="Times New Roman"/>
          <w:b w:val="false"/>
          <w:color w:val="auto"/>
        </w:rPr>
        <w:t>Defining, Identifying and Managing Operational Risk &amp; its Repercussions on Investment Management - Benchmarks &amp; Target Setting</w:t>
      </w:r>
    </w:p>
    <w:p>
      <w:pPr>
        <w:pStyle w:val="Heading4"/>
        <w:ind w:hanging="0" w:start="0"/>
        <w:jc w:val="start"/>
        <w:rPr>
          <w:rFonts w:ascii="Times New Roman" w:hAnsi="Times New Roman" w:cs="Times New Roman"/>
          <w:b w:val="false"/>
          <w:i w:val="false"/>
          <w:i w:val="false"/>
          <w:color w:val="auto"/>
          <w:sz w:val="24"/>
        </w:rPr>
      </w:pPr>
      <w:r>
        <w:rPr>
          <w:rFonts w:cs="Times New Roman"/>
          <w:b w:val="false"/>
          <w:i w:val="false"/>
          <w:color w:val="auto"/>
          <w:sz w:val="24"/>
        </w:rPr>
      </w:r>
    </w:p>
    <w:p>
      <w:pPr>
        <w:pStyle w:val="Heading4"/>
        <w:numPr>
          <w:ilvl w:val="0"/>
          <w:numId w:val="33"/>
        </w:numPr>
        <w:jc w:val="start"/>
        <w:rPr>
          <w:b w:val="false"/>
          <w:i w:val="false"/>
          <w:i w:val="false"/>
          <w:color w:val="auto"/>
          <w:sz w:val="24"/>
        </w:rPr>
      </w:pPr>
      <w:r>
        <w:rPr>
          <w:b w:val="false"/>
          <w:i w:val="false"/>
          <w:color w:val="auto"/>
          <w:sz w:val="24"/>
        </w:rPr>
        <w:t xml:space="preserve">Adapting VaR Techniques to the Hedge-Fund Industry </w:t>
      </w:r>
    </w:p>
    <w:p>
      <w:pPr>
        <w:pStyle w:val="Normal"/>
        <w:rPr>
          <w:b/>
          <w:i/>
          <w:i/>
          <w:color w:val="auto"/>
          <w:sz w:val="24"/>
        </w:rPr>
      </w:pPr>
      <w:r>
        <w:rPr>
          <w:b/>
          <w:i/>
          <w:color w:val="auto"/>
          <w:sz w:val="24"/>
        </w:rPr>
      </w:r>
    </w:p>
    <w:sectPr>
      <w:footerReference w:type="default" r:id="rId4"/>
      <w:type w:val="nextPage"/>
      <w:pgSz w:w="11906" w:h="16838"/>
      <w:pgMar w:left="1797" w:right="1797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Copyright GARP 2000 Private and Confidential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6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6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6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6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6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6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6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6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6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6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6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6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6"/>
      </w:rPr>
    </w:lvl>
  </w:abstractNum>
  <w:abstractNum w:abstractNumId="1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6"/>
      </w:rPr>
    </w:lvl>
  </w:abstractNum>
  <w:abstractNum w:abstractNumId="1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6"/>
      </w:rPr>
    </w:lvl>
  </w:abstractNum>
  <w:abstractNum w:abstractNumId="1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6"/>
      </w:rPr>
    </w:lvl>
  </w:abstractNum>
  <w:abstractNum w:abstractNumId="1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9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2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6"/>
      </w:rPr>
    </w:lvl>
  </w:abstractNum>
  <w:abstractNum w:abstractNumId="2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6"/>
      </w:rPr>
    </w:lvl>
  </w:abstractNum>
  <w:abstractNum w:abstractNumId="2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6"/>
      </w:rPr>
    </w:lvl>
  </w:abstractNum>
  <w:abstractNum w:abstractNumId="2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6"/>
      </w:rPr>
    </w:lvl>
  </w:abstractNum>
  <w:abstractNum w:abstractNumId="2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6"/>
      </w:rPr>
    </w:lvl>
  </w:abstractNum>
  <w:abstractNum w:abstractNumId="2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6"/>
      </w:rPr>
    </w:lvl>
  </w:abstractNum>
  <w:abstractNum w:abstractNumId="2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6"/>
      </w:rPr>
    </w:lvl>
  </w:abstractNum>
  <w:abstractNum w:abstractNumId="2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6"/>
      </w:rPr>
    </w:lvl>
  </w:abstractNum>
  <w:abstractNum w:abstractNumId="2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6"/>
      </w:rPr>
    </w:lvl>
  </w:abstractNum>
  <w:abstractNum w:abstractNumId="2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6"/>
      </w:rPr>
    </w:lvl>
  </w:abstractNum>
  <w:abstractNum w:abstractNumId="3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6"/>
      </w:rPr>
    </w:lvl>
  </w:abstractNum>
  <w:abstractNum w:abstractNumId="3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4">
    <w:lvl w:ilvl="0"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Liberation Serif" w:hAnsi="Liberation Serif" w:cs="Liberation Serif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Tahoma" w:hAnsi="Tahoma" w:cs="Tahoma"/>
      <w:b/>
      <w:i/>
      <w:color w:val="808080"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Tahoma" w:hAnsi="Tahoma" w:cs="Tahoma"/>
      <w:b/>
      <w:i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Tahoma" w:hAnsi="Tahoma" w:cs="Tahoma"/>
      <w:b/>
      <w:i/>
      <w:sz w:val="32"/>
      <w:lang w:val="en-GB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end"/>
      <w:outlineLvl w:val="3"/>
    </w:pPr>
    <w:rPr>
      <w:b/>
      <w:i/>
      <w:color w:val="808080"/>
      <w:sz w:val="2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Tahoma" w:hAnsi="Tahoma" w:cs="Tahoma"/>
      <w:b/>
      <w:color w:val="808080"/>
      <w:sz w:val="3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rFonts w:ascii="Tahoma" w:hAnsi="Tahoma" w:cs="Tahoma"/>
      <w:b/>
      <w:color w:val="808080"/>
      <w:sz w:val="2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start="360" w:end="0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b/>
      <w:sz w:val="22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  <w:sz w:val="16"/>
    </w:rPr>
  </w:style>
  <w:style w:type="character" w:styleId="WW8Num3z0">
    <w:name w:val="WW8Num3z0"/>
    <w:qFormat/>
    <w:rPr>
      <w:rFonts w:ascii="Symbol" w:hAnsi="Symbol" w:cs="Symbol"/>
      <w:sz w:val="16"/>
    </w:rPr>
  </w:style>
  <w:style w:type="character" w:styleId="WW8Num4z0">
    <w:name w:val="WW8Num4z0"/>
    <w:qFormat/>
    <w:rPr>
      <w:rFonts w:ascii="Symbol" w:hAnsi="Symbol" w:cs="Symbol"/>
      <w:sz w:val="16"/>
    </w:rPr>
  </w:style>
  <w:style w:type="character" w:styleId="WW8Num5z0">
    <w:name w:val="WW8Num5z0"/>
    <w:qFormat/>
    <w:rPr>
      <w:rFonts w:ascii="Symbol" w:hAnsi="Symbol" w:cs="Symbol"/>
      <w:sz w:val="16"/>
    </w:rPr>
  </w:style>
  <w:style w:type="character" w:styleId="WW8Num6z0">
    <w:name w:val="WW8Num6z0"/>
    <w:qFormat/>
    <w:rPr>
      <w:rFonts w:ascii="Symbol" w:hAnsi="Symbol" w:cs="Symbol"/>
      <w:sz w:val="16"/>
    </w:rPr>
  </w:style>
  <w:style w:type="character" w:styleId="WW8Num7z0">
    <w:name w:val="WW8Num7z0"/>
    <w:qFormat/>
    <w:rPr>
      <w:rFonts w:ascii="Symbol" w:hAnsi="Symbol" w:cs="Symbol"/>
      <w:sz w:val="16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  <w:sz w:val="16"/>
    </w:rPr>
  </w:style>
  <w:style w:type="character" w:styleId="WW8Num10z0">
    <w:name w:val="WW8Num10z0"/>
    <w:qFormat/>
    <w:rPr>
      <w:rFonts w:ascii="Symbol" w:hAnsi="Symbol" w:cs="Symbol"/>
      <w:sz w:val="16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  <w:sz w:val="16"/>
    </w:rPr>
  </w:style>
  <w:style w:type="character" w:styleId="WW8Num13z0">
    <w:name w:val="WW8Num13z0"/>
    <w:qFormat/>
    <w:rPr>
      <w:rFonts w:ascii="Symbol" w:hAnsi="Symbol" w:cs="Symbol"/>
      <w:sz w:val="16"/>
    </w:rPr>
  </w:style>
  <w:style w:type="character" w:styleId="WW8Num14z0">
    <w:name w:val="WW8Num14z0"/>
    <w:qFormat/>
    <w:rPr/>
  </w:style>
  <w:style w:type="character" w:styleId="WW8Num15z0">
    <w:name w:val="WW8Num15z0"/>
    <w:qFormat/>
    <w:rPr>
      <w:rFonts w:ascii="Symbol" w:hAnsi="Symbol" w:cs="Symbol"/>
      <w:sz w:val="16"/>
    </w:rPr>
  </w:style>
  <w:style w:type="character" w:styleId="WW8Num16z0">
    <w:name w:val="WW8Num16z0"/>
    <w:qFormat/>
    <w:rPr>
      <w:rFonts w:ascii="Symbol" w:hAnsi="Symbol" w:cs="Symbol"/>
      <w:sz w:val="16"/>
    </w:rPr>
  </w:style>
  <w:style w:type="character" w:styleId="WW8Num17z0">
    <w:name w:val="WW8Num17z0"/>
    <w:qFormat/>
    <w:rPr>
      <w:rFonts w:ascii="Symbol" w:hAnsi="Symbol" w:cs="Symbol"/>
      <w:sz w:val="16"/>
    </w:rPr>
  </w:style>
  <w:style w:type="character" w:styleId="WW8Num18z0">
    <w:name w:val="WW8Num18z0"/>
    <w:qFormat/>
    <w:rPr>
      <w:rFonts w:ascii="Symbol" w:hAnsi="Symbol" w:cs="Symbol"/>
      <w:sz w:val="16"/>
    </w:rPr>
  </w:style>
  <w:style w:type="character" w:styleId="WW8Num19z0">
    <w:name w:val="WW8Num19z0"/>
    <w:qFormat/>
    <w:rPr>
      <w:rFonts w:ascii="Symbol" w:hAnsi="Symbol" w:cs="Symbol"/>
      <w:sz w:val="16"/>
    </w:rPr>
  </w:style>
  <w:style w:type="character" w:styleId="WW8Num20z0">
    <w:name w:val="WW8Num20z0"/>
    <w:qFormat/>
    <w:rPr>
      <w:rFonts w:ascii="Symbol" w:hAnsi="Symbol" w:cs="Symbol"/>
      <w:sz w:val="16"/>
    </w:rPr>
  </w:style>
  <w:style w:type="character" w:styleId="WW8Num21z0">
    <w:name w:val="WW8Num21z0"/>
    <w:qFormat/>
    <w:rPr>
      <w:rFonts w:ascii="Symbol" w:hAnsi="Symbol" w:cs="Symbol"/>
      <w:sz w:val="16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/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6z0">
    <w:name w:val="WW8Num26z0"/>
    <w:qFormat/>
    <w:rPr>
      <w:rFonts w:ascii="Symbol" w:hAnsi="Symbol" w:cs="Symbol"/>
      <w:sz w:val="16"/>
    </w:rPr>
  </w:style>
  <w:style w:type="character" w:styleId="WW8Num27z0">
    <w:name w:val="WW8Num27z0"/>
    <w:qFormat/>
    <w:rPr>
      <w:rFonts w:ascii="Symbol" w:hAnsi="Symbol" w:cs="Symbol"/>
      <w:sz w:val="16"/>
    </w:rPr>
  </w:style>
  <w:style w:type="character" w:styleId="WW8Num28z0">
    <w:name w:val="WW8Num28z0"/>
    <w:qFormat/>
    <w:rPr>
      <w:rFonts w:ascii="Symbol" w:hAnsi="Symbol" w:cs="Symbol"/>
      <w:sz w:val="16"/>
    </w:rPr>
  </w:style>
  <w:style w:type="character" w:styleId="WW8Num29z0">
    <w:name w:val="WW8Num29z0"/>
    <w:qFormat/>
    <w:rPr>
      <w:rFonts w:ascii="Symbol" w:hAnsi="Symbol" w:cs="Symbol"/>
      <w:sz w:val="16"/>
    </w:rPr>
  </w:style>
  <w:style w:type="character" w:styleId="WW8Num30z0">
    <w:name w:val="WW8Num30z0"/>
    <w:qFormat/>
    <w:rPr>
      <w:rFonts w:ascii="Symbol" w:hAnsi="Symbol" w:cs="Symbol"/>
      <w:sz w:val="16"/>
    </w:rPr>
  </w:style>
  <w:style w:type="character" w:styleId="WW8Num31z0">
    <w:name w:val="WW8Num31z0"/>
    <w:qFormat/>
    <w:rPr>
      <w:rFonts w:ascii="Wingdings" w:hAnsi="Wingdings" w:cs="Wingdings"/>
    </w:rPr>
  </w:style>
  <w:style w:type="character" w:styleId="WW8Num32z0">
    <w:name w:val="WW8Num32z0"/>
    <w:qFormat/>
    <w:rPr>
      <w:rFonts w:ascii="Symbol" w:hAnsi="Symbol" w:cs="Symbol"/>
      <w:sz w:val="16"/>
    </w:rPr>
  </w:style>
  <w:style w:type="character" w:styleId="WW8Num33z0">
    <w:name w:val="WW8Num33z0"/>
    <w:qFormat/>
    <w:rPr>
      <w:rFonts w:ascii="Symbol" w:hAnsi="Symbol" w:cs="Symbol"/>
      <w:sz w:val="16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Wingdings" w:hAnsi="Wingdings" w:cs="Wingdings"/>
    </w:rPr>
  </w:style>
  <w:style w:type="character" w:styleId="WW8Num36z0">
    <w:name w:val="WW8Num36z0"/>
    <w:qFormat/>
    <w:rPr>
      <w:rFonts w:ascii="Symbol" w:hAnsi="Symbol" w:cs="Symbol"/>
      <w:sz w:val="16"/>
    </w:rPr>
  </w:style>
  <w:style w:type="character" w:styleId="WW8Num37z0">
    <w:name w:val="WW8Num37z0"/>
    <w:qFormat/>
    <w:rPr>
      <w:rFonts w:ascii="Symbol" w:hAnsi="Symbol" w:cs="Symbol"/>
      <w:sz w:val="16"/>
    </w:rPr>
  </w:style>
  <w:style w:type="character" w:styleId="WW8Num38z0">
    <w:name w:val="WW8Num38z0"/>
    <w:qFormat/>
    <w:rPr>
      <w:rFonts w:ascii="Wingdings" w:hAnsi="Wingdings" w:cs="Wingdings"/>
    </w:rPr>
  </w:style>
  <w:style w:type="character" w:styleId="WW8Num39z0">
    <w:name w:val="WW8Num39z0"/>
    <w:qFormat/>
    <w:rPr>
      <w:rFonts w:ascii="Symbol" w:hAnsi="Symbol" w:cs="Symbol"/>
      <w:sz w:val="16"/>
    </w:rPr>
  </w:style>
  <w:style w:type="character" w:styleId="WW8Num40z0">
    <w:name w:val="WW8Num40z0"/>
    <w:qFormat/>
    <w:rPr>
      <w:rFonts w:ascii="Wingdings" w:hAnsi="Wingdings" w:cs="Wingdings"/>
    </w:rPr>
  </w:style>
  <w:style w:type="character" w:styleId="WW8Num41z0">
    <w:name w:val="WW8Num41z0"/>
    <w:qFormat/>
    <w:rPr>
      <w:rFonts w:ascii="Wingdings" w:hAnsi="Wingdings" w:cs="Wingdings"/>
    </w:rPr>
  </w:style>
  <w:style w:type="character" w:styleId="WW8Num42z0">
    <w:name w:val="WW8Num42z0"/>
    <w:qFormat/>
    <w:rPr>
      <w:rFonts w:ascii="Symbol" w:hAnsi="Symbol" w:cs="Symbol"/>
    </w:rPr>
  </w:style>
  <w:style w:type="character" w:styleId="WW8Num43z0">
    <w:name w:val="WW8Num43z0"/>
    <w:qFormat/>
    <w:rPr>
      <w:rFonts w:ascii="Symbol" w:hAnsi="Symbol" w:cs="Symbol"/>
      <w:sz w:val="16"/>
    </w:rPr>
  </w:style>
  <w:style w:type="character" w:styleId="WW8Num44z0">
    <w:name w:val="WW8Num44z0"/>
    <w:qFormat/>
    <w:rPr>
      <w:rFonts w:ascii="Symbol" w:hAnsi="Symbol" w:cs="Symbol"/>
      <w:sz w:val="16"/>
    </w:rPr>
  </w:style>
  <w:style w:type="character" w:styleId="WW8Num45z0">
    <w:name w:val="WW8Num45z0"/>
    <w:qFormat/>
    <w:rPr>
      <w:rFonts w:ascii="Symbol" w:hAnsi="Symbol" w:cs="Symbol"/>
    </w:rPr>
  </w:style>
  <w:style w:type="character" w:styleId="WW8Num46z0">
    <w:name w:val="WW8Num46z0"/>
    <w:qFormat/>
    <w:rPr/>
  </w:style>
  <w:style w:type="character" w:styleId="WW8Num47z0">
    <w:name w:val="WW8Num47z0"/>
    <w:qFormat/>
    <w:rPr>
      <w:rFonts w:ascii="Symbol" w:hAnsi="Symbol" w:cs="Symbol"/>
    </w:rPr>
  </w:style>
  <w:style w:type="character" w:styleId="WW8Num48z0">
    <w:name w:val="WW8Num48z0"/>
    <w:qFormat/>
    <w:rPr>
      <w:rFonts w:ascii="Symbol" w:hAnsi="Symbol" w:cs="Symbol"/>
      <w:sz w:val="16"/>
    </w:rPr>
  </w:style>
  <w:style w:type="character" w:styleId="WW8Num49z0">
    <w:name w:val="WW8Num49z0"/>
    <w:qFormat/>
    <w:rPr/>
  </w:style>
  <w:style w:type="character" w:styleId="WW8Num50z0">
    <w:name w:val="WW8Num50z0"/>
    <w:qFormat/>
    <w:rPr>
      <w:rFonts w:ascii="Symbol" w:hAnsi="Symbol" w:cs="Symbol"/>
      <w:sz w:val="16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b/>
      <w:sz w:val="24"/>
      <w:lang w:val="en-GB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/>
    <w:rPr>
      <w:rFonts w:ascii="Arial" w:hAnsi="Arial" w:cs="Arial"/>
      <w:b/>
      <w:color w:val="0000FF"/>
      <w:sz w:val="24"/>
      <w:lang w:val="en-GB"/>
    </w:rPr>
  </w:style>
  <w:style w:type="paragraph" w:styleId="BodyText3">
    <w:name w:val="Body Text 3"/>
    <w:basedOn w:val="Normal"/>
    <w:qFormat/>
    <w:pPr/>
    <w:rPr>
      <w:rFonts w:ascii="Arial" w:hAnsi="Arial" w:cs="Arial"/>
      <w:b/>
      <w:color w:val="FF0000"/>
      <w:sz w:val="24"/>
      <w:lang w:val="en-GB"/>
    </w:rPr>
  </w:style>
  <w:style w:type="paragraph" w:styleId="BodyTextIndent">
    <w:name w:val="Body Text Indent"/>
    <w:basedOn w:val="Normal"/>
    <w:pPr>
      <w:ind w:hanging="0" w:start="360" w:end="0"/>
    </w:pPr>
    <w:rPr>
      <w:b/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2000-08-11T06:55:00Z</dcterms:created>
  <dc:creator>IPPF user</dc:creator>
  <dc:description/>
  <dc:language>en-CA</dc:language>
  <cp:lastModifiedBy>asimou</cp:lastModifiedBy>
  <dcterms:modified xsi:type="dcterms:W3CDTF">2000-08-15T11:09:00Z</dcterms:modified>
  <cp:revision>18</cp:revision>
  <dc:subject/>
  <dc:title/>
</cp:coreProperties>
</file>