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Draft outline addressing OII on SDG&amp;E</w:t>
      </w:r>
    </w:p>
    <w:p>
      <w:pPr>
        <w:pStyle w:val="Normal"/>
        <w:rPr>
          <w:sz w:val="24"/>
          <w:szCs w:val="24"/>
        </w:rPr>
      </w:pPr>
      <w:r>
        <w:rPr>
          <w:sz w:val="24"/>
          <w:szCs w:val="24"/>
        </w:rPr>
      </w:r>
    </w:p>
    <w:p>
      <w:pPr>
        <w:pStyle w:val="Heading1"/>
        <w:ind w:hanging="0" w:start="0"/>
        <w:rPr/>
      </w:pPr>
      <w:r>
        <w:rPr/>
        <w:t>RESPONSES TO ISSUES RAISED BY THE COMMISSION AS PART OF THEIR INVESTIGATION INTO WHOLESALE AND RETAIL MARKETS.</w:t>
      </w:r>
    </w:p>
    <w:p>
      <w:pPr>
        <w:pStyle w:val="Heading2"/>
        <w:tabs>
          <w:tab w:val="clear" w:pos="720"/>
          <w:tab w:val="left" w:pos="360" w:leader="none"/>
        </w:tabs>
        <w:ind w:hanging="360" w:start="360" w:end="0"/>
        <w:rPr/>
      </w:pPr>
      <w:r>
        <w:rPr/>
        <w:t>Bill Payment Options</w:t>
      </w:r>
    </w:p>
    <w:p>
      <w:pPr>
        <w:pStyle w:val="Normal"/>
        <w:rPr>
          <w:sz w:val="24"/>
          <w:szCs w:val="24"/>
        </w:rPr>
      </w:pPr>
      <w:r>
        <w:rPr>
          <w:sz w:val="24"/>
          <w:szCs w:val="24"/>
        </w:rPr>
      </w:r>
    </w:p>
    <w:p>
      <w:pPr>
        <w:pStyle w:val="Normal"/>
        <w:rPr/>
      </w:pPr>
      <w:r>
        <w:rPr>
          <w:b/>
          <w:bCs/>
          <w:sz w:val="24"/>
          <w:szCs w:val="24"/>
        </w:rPr>
        <w:t>Enron will stay silent on this issue</w:t>
      </w:r>
      <w:r>
        <w:rPr>
          <w:sz w:val="24"/>
          <w:szCs w:val="24"/>
        </w:rPr>
        <w:t xml:space="preserve">. However, if we decide to provide a position, Enron’s position would be to promote this option through the market. The market is there to provide for LPPs and fixed commodity contracts. </w:t>
      </w:r>
    </w:p>
    <w:p>
      <w:pPr>
        <w:pStyle w:val="Normal"/>
        <w:rPr>
          <w:b/>
          <w:bCs/>
          <w:sz w:val="24"/>
          <w:szCs w:val="24"/>
        </w:rPr>
      </w:pPr>
      <w:r>
        <w:rPr>
          <w:b/>
          <w:bCs/>
          <w:sz w:val="24"/>
          <w:szCs w:val="24"/>
        </w:rPr>
        <w:t>ARM coalition may file a position on this issue.</w:t>
      </w:r>
    </w:p>
    <w:p>
      <w:pPr>
        <w:pStyle w:val="Normal"/>
        <w:rPr>
          <w:b/>
          <w:bCs/>
          <w:sz w:val="24"/>
          <w:szCs w:val="24"/>
        </w:rPr>
      </w:pPr>
      <w:r>
        <w:rPr>
          <w:b/>
          <w:bCs/>
          <w:sz w:val="24"/>
          <w:szCs w:val="24"/>
        </w:rPr>
      </w:r>
    </w:p>
    <w:p>
      <w:pPr>
        <w:pStyle w:val="Heading2"/>
        <w:tabs>
          <w:tab w:val="clear" w:pos="720"/>
          <w:tab w:val="left" w:pos="360" w:leader="none"/>
        </w:tabs>
        <w:ind w:hanging="360" w:start="360" w:end="0"/>
        <w:rPr/>
      </w:pPr>
      <w:r>
        <w:rPr/>
        <w:t>Rate design and tariff options to Schedule PX</w:t>
      </w:r>
    </w:p>
    <w:p>
      <w:pPr>
        <w:pStyle w:val="Normal"/>
        <w:rPr>
          <w:sz w:val="24"/>
          <w:szCs w:val="24"/>
        </w:rPr>
      </w:pPr>
      <w:r>
        <w:rPr>
          <w:sz w:val="24"/>
          <w:szCs w:val="24"/>
        </w:rPr>
      </w:r>
    </w:p>
    <w:p>
      <w:pPr>
        <w:pStyle w:val="Normal"/>
        <w:rPr/>
      </w:pPr>
      <w:r>
        <w:rPr>
          <w:b/>
          <w:bCs/>
          <w:sz w:val="24"/>
          <w:szCs w:val="24"/>
        </w:rPr>
        <w:t>Enron’s advocacy will be directed at customers with a load of 20 kW and above for monthly and hourly PX variability. ARM sketched out a concept differentiating PX pass through for Residential vs. Commercial/ Industrial customers</w:t>
      </w:r>
      <w:r>
        <w:rPr>
          <w:sz w:val="24"/>
          <w:szCs w:val="24"/>
        </w:rPr>
        <w:t>. ARM may propose that Residential customers be subject to an quartely or annual levelized PX market fluctuation while larger customers should beat least subject to monthly PX variable.  Enron will promote the idea that a residential levelized method is not imposed on larger customers.</w:t>
      </w:r>
    </w:p>
    <w:p>
      <w:pPr>
        <w:pStyle w:val="BodyText2"/>
        <w:ind w:start="0" w:end="0"/>
        <w:rPr>
          <w:sz w:val="24"/>
          <w:szCs w:val="24"/>
        </w:rPr>
      </w:pPr>
      <w:r>
        <w:rPr>
          <w:sz w:val="24"/>
          <w:szCs w:val="24"/>
        </w:rPr>
      </w:r>
    </w:p>
    <w:p>
      <w:pPr>
        <w:pStyle w:val="BodyText2"/>
        <w:ind w:start="0" w:end="0"/>
        <w:rPr>
          <w:b/>
          <w:bCs/>
        </w:rPr>
      </w:pPr>
      <w:r>
        <w:rPr>
          <w:b/>
          <w:bCs/>
        </w:rPr>
        <w:t>Enron will propose the following for larger customers.</w:t>
      </w:r>
    </w:p>
    <w:p>
      <w:pPr>
        <w:pStyle w:val="BodyText2"/>
        <w:numPr>
          <w:ilvl w:val="2"/>
          <w:numId w:val="2"/>
        </w:numPr>
        <w:tabs>
          <w:tab w:val="left" w:pos="0" w:leader="none"/>
          <w:tab w:val="left" w:pos="720" w:leader="none"/>
        </w:tabs>
        <w:ind w:hanging="720" w:start="1440" w:end="0"/>
        <w:rPr/>
      </w:pPr>
      <w:r>
        <w:rPr/>
        <w:t>Small commercial-Medium commercial (20-up to 50 kW) bundled customers should be subject to monthly PX variable. The market provides for fixed commodity contracts to customers.</w:t>
      </w:r>
    </w:p>
    <w:p>
      <w:pPr>
        <w:pStyle w:val="BodyText2"/>
        <w:numPr>
          <w:ilvl w:val="2"/>
          <w:numId w:val="2"/>
        </w:numPr>
        <w:tabs>
          <w:tab w:val="left" w:pos="0" w:leader="none"/>
          <w:tab w:val="left" w:pos="720" w:leader="none"/>
        </w:tabs>
        <w:ind w:hanging="360" w:start="1440" w:end="0"/>
        <w:rPr/>
      </w:pPr>
      <w:r>
        <w:rPr/>
        <w:t xml:space="preserve">Medium-Large Commercial/Industrial (above 50 kW) bundled customers should be subject to monthly PX variable or hourly PX variable for those customers with real time meters. The market provides for fixed commodity contracts to customers. </w:t>
      </w:r>
      <w:r>
        <w:rPr>
          <w:b/>
          <w:bCs/>
        </w:rPr>
        <w:t>Do we want to advocate that bundled customers in this group should only be subject to hourly PX prices, as they are when they go DA, or is a monthly PX variability sufficient?</w:t>
      </w:r>
    </w:p>
    <w:p>
      <w:pPr>
        <w:pStyle w:val="Normal"/>
        <w:rPr>
          <w:sz w:val="24"/>
          <w:szCs w:val="24"/>
        </w:rPr>
      </w:pPr>
      <w:r>
        <w:rPr>
          <w:sz w:val="24"/>
          <w:szCs w:val="24"/>
        </w:rPr>
      </w:r>
    </w:p>
    <w:p>
      <w:pPr>
        <w:pStyle w:val="Normal"/>
        <w:rPr>
          <w:sz w:val="24"/>
          <w:szCs w:val="24"/>
        </w:rPr>
      </w:pPr>
      <w:r>
        <w:rPr>
          <w:sz w:val="24"/>
          <w:szCs w:val="24"/>
        </w:rPr>
        <w:t xml:space="preserve">Q. Is there any problem with SDG&amp;E adjusting on-going CTC charge level based upon projections of market prices as opposed to annualized projections with potential large overcollections? </w:t>
      </w:r>
    </w:p>
    <w:p>
      <w:pPr>
        <w:pStyle w:val="Normal"/>
        <w:rPr>
          <w:sz w:val="24"/>
          <w:szCs w:val="24"/>
        </w:rPr>
      </w:pPr>
      <w:r>
        <w:rPr>
          <w:sz w:val="24"/>
          <w:szCs w:val="24"/>
        </w:rPr>
        <w:t>A. Enron would prefer a fixed CTC adjusted annually with the risk of associated overcollection later rather that a variable CTC.</w:t>
      </w:r>
    </w:p>
    <w:p>
      <w:pPr>
        <w:pStyle w:val="Heading2"/>
        <w:tabs>
          <w:tab w:val="clear" w:pos="720"/>
          <w:tab w:val="left" w:pos="360" w:leader="none"/>
        </w:tabs>
        <w:ind w:hanging="360" w:start="360" w:end="0"/>
        <w:rPr/>
      </w:pPr>
      <w:r>
        <w:rPr/>
        <w:t>SDG&amp;E’s ability to procure energy through bilateral contracts, Cal PX and other markets, and the ISO;  Reasonableness</w:t>
      </w:r>
    </w:p>
    <w:p>
      <w:pPr>
        <w:pStyle w:val="Heading3"/>
        <w:tabs>
          <w:tab w:val="left" w:pos="720" w:leader="none"/>
        </w:tabs>
        <w:ind w:hanging="360" w:start="720" w:end="0"/>
        <w:rPr/>
      </w:pPr>
      <w:r>
        <w:rPr/>
        <w:t>Procurement Policy</w:t>
      </w:r>
    </w:p>
    <w:p>
      <w:pPr>
        <w:pStyle w:val="BodyTextIndent2"/>
        <w:ind w:start="720" w:end="0"/>
        <w:rPr>
          <w:b/>
          <w:bCs/>
        </w:rPr>
      </w:pPr>
      <w:r>
        <w:rPr>
          <w:b/>
          <w:bCs/>
        </w:rPr>
        <w:t xml:space="preserve">ARM will address this issue. </w:t>
      </w:r>
    </w:p>
    <w:p>
      <w:pPr>
        <w:pStyle w:val="BodyTextIndent2"/>
        <w:ind w:start="720" w:end="0"/>
        <w:rPr/>
      </w:pPr>
      <w:r>
        <w:rPr/>
        <w:t xml:space="preserve">The existing limits on SDG&amp;E’s BFM participation and bilateral contract activity should be. In particular:   </w:t>
      </w:r>
    </w:p>
    <w:p>
      <w:pPr>
        <w:pStyle w:val="BodyTextIndent2"/>
        <w:numPr>
          <w:ilvl w:val="3"/>
          <w:numId w:val="3"/>
        </w:numPr>
        <w:tabs>
          <w:tab w:val="clear" w:pos="720"/>
          <w:tab w:val="left" w:pos="0" w:leader="none"/>
          <w:tab w:val="left" w:pos="1080" w:leader="none"/>
        </w:tabs>
        <w:ind w:hanging="720" w:start="1800" w:end="0"/>
        <w:rPr/>
      </w:pPr>
      <w:r>
        <w:rPr/>
        <w:t>The term of the contracts should not exceed 12 months to avoid stranded costs.</w:t>
      </w:r>
    </w:p>
    <w:p>
      <w:pPr>
        <w:pStyle w:val="BodyTextIndent2"/>
        <w:numPr>
          <w:ilvl w:val="3"/>
          <w:numId w:val="3"/>
        </w:numPr>
        <w:tabs>
          <w:tab w:val="clear" w:pos="720"/>
          <w:tab w:val="left" w:pos="0" w:leader="none"/>
          <w:tab w:val="left" w:pos="1080" w:leader="none"/>
        </w:tabs>
        <w:ind w:hanging="720" w:start="1800" w:end="0"/>
        <w:rPr/>
      </w:pPr>
      <w:r>
        <w:rPr/>
        <w:t xml:space="preserve">The bilateral purchases should be rate schedule specific to residential and small commercial customers. </w:t>
      </w:r>
    </w:p>
    <w:p>
      <w:pPr>
        <w:pStyle w:val="BodyTextIndent2"/>
        <w:numPr>
          <w:ilvl w:val="3"/>
          <w:numId w:val="3"/>
        </w:numPr>
        <w:tabs>
          <w:tab w:val="clear" w:pos="720"/>
          <w:tab w:val="left" w:pos="0" w:leader="none"/>
          <w:tab w:val="left" w:pos="1080" w:leader="none"/>
        </w:tabs>
        <w:ind w:hanging="360" w:start="1800" w:end="0"/>
        <w:rPr/>
      </w:pPr>
      <w:r>
        <w:rPr/>
        <w:t xml:space="preserve">There should be a mechanism under which the UDC posts the aggregate price; quantity and term of all bilateral deals 24 hrs after the contracts are closed.  </w:t>
      </w:r>
    </w:p>
    <w:p>
      <w:pPr>
        <w:pStyle w:val="Heading3"/>
        <w:tabs>
          <w:tab w:val="left" w:pos="720" w:leader="none"/>
        </w:tabs>
        <w:ind w:hanging="360" w:start="720" w:end="0"/>
        <w:rPr/>
      </w:pPr>
      <w:r>
        <w:rPr/>
        <w:t>Encourage participation in alternate exchanges</w:t>
      </w:r>
    </w:p>
    <w:p>
      <w:pPr>
        <w:pStyle w:val="BodyText2"/>
        <w:rPr>
          <w:b/>
          <w:bCs/>
        </w:rPr>
      </w:pPr>
      <w:r>
        <w:rPr>
          <w:b/>
          <w:bCs/>
        </w:rPr>
        <w:t>Enron will address this issue.</w:t>
      </w:r>
    </w:p>
    <w:p>
      <w:pPr>
        <w:pStyle w:val="BodyTextIndent2"/>
        <w:ind w:start="720" w:end="0"/>
        <w:rPr/>
      </w:pPr>
      <w:r>
        <w:rPr/>
        <w:t xml:space="preserve">The primary reason that CPUC require mandatory buy from PX was for transparency.  It is arguable that CPUC never contemplated development of various markets w/in PX.  As such, transparency argument is already moot.  Therefore, no reason to continue to protect PX from competition that could provide better services for less. (Do we want to expand on what attributes should define an alternate exchange?)  </w:t>
      </w:r>
    </w:p>
    <w:p>
      <w:pPr>
        <w:pStyle w:val="Heading3"/>
        <w:tabs>
          <w:tab w:val="left" w:pos="720" w:leader="none"/>
          <w:tab w:val="left" w:pos="780" w:leader="none"/>
        </w:tabs>
        <w:ind w:hanging="360" w:start="720" w:end="0"/>
        <w:rPr/>
      </w:pPr>
      <w:r>
        <w:rPr/>
        <w:t>Reasonableness</w:t>
      </w:r>
    </w:p>
    <w:p>
      <w:pPr>
        <w:pStyle w:val="BodyText2"/>
        <w:rPr>
          <w:b/>
          <w:bCs/>
        </w:rPr>
      </w:pPr>
      <w:r>
        <w:rPr>
          <w:b/>
          <w:bCs/>
        </w:rPr>
        <w:t>Enron’s position is stated below, we may have a separate view than ARM.</w:t>
      </w:r>
    </w:p>
    <w:p>
      <w:pPr>
        <w:pStyle w:val="BodyText2"/>
        <w:rPr>
          <w:b/>
          <w:bCs/>
        </w:rPr>
      </w:pPr>
      <w:r>
        <w:rPr>
          <w:b/>
          <w:bCs/>
        </w:rPr>
      </w:r>
    </w:p>
    <w:p>
      <w:pPr>
        <w:pStyle w:val="BodyTextIndent2"/>
        <w:ind w:start="720" w:end="0"/>
        <w:rPr/>
      </w:pPr>
      <w:r>
        <w:rPr/>
        <w:t>Purchases through the PX have been per se reasonable to date.  Providing ability to enter into bilateral agreements introduces a new reasonableness question.  Commission has provided some review prior to approving contracts in adopting bilateral options.  PX is still benchmark for reasonable behavior.  This provides the utility protection from after-the-fact reasonableness.</w:t>
      </w:r>
    </w:p>
    <w:p>
      <w:pPr>
        <w:pStyle w:val="BodyTextIndent2"/>
        <w:rPr/>
      </w:pPr>
      <w:r>
        <w:rPr/>
      </w:r>
    </w:p>
    <w:p>
      <w:pPr>
        <w:pStyle w:val="BodyTextIndent2"/>
        <w:ind w:start="720" w:end="0"/>
        <w:rPr/>
      </w:pPr>
      <w:r>
        <w:rPr/>
        <w:t xml:space="preserve">As you expand purchasing ability, need to establish exogenous price points as benchmark for reasonable behavior, other than PX.  There is the potential that the PX may lose liquidity if other exchanges are successful.  There is also the potential that the PX is heavily influenced by UDC behavior. </w:t>
      </w:r>
    </w:p>
    <w:p>
      <w:pPr>
        <w:pStyle w:val="BodyTextIndent2"/>
        <w:rPr/>
      </w:pPr>
      <w:r>
        <w:rPr/>
      </w:r>
    </w:p>
    <w:p>
      <w:pPr>
        <w:pStyle w:val="BodyTextIndent2"/>
        <w:ind w:start="720" w:end="0"/>
        <w:rPr/>
      </w:pPr>
      <w:r>
        <w:rPr/>
        <w:t xml:space="preserve">We do not promote a sharing risk/reward with ratepayers, commodity PBR mechanism, as it would further entrench the role of the utility as energy provider. The market is there to provide for competitive energy services. </w:t>
      </w:r>
    </w:p>
    <w:p>
      <w:pPr>
        <w:pStyle w:val="Heading2"/>
        <w:tabs>
          <w:tab w:val="clear" w:pos="720"/>
          <w:tab w:val="left" w:pos="360" w:leader="none"/>
        </w:tabs>
        <w:ind w:hanging="360" w:start="360" w:end="0"/>
        <w:rPr/>
      </w:pPr>
      <w:r>
        <w:rPr/>
        <w:t>SDG&amp;E as default provider</w:t>
      </w:r>
    </w:p>
    <w:p>
      <w:pPr>
        <w:pStyle w:val="Heading3"/>
        <w:numPr>
          <w:ilvl w:val="0"/>
          <w:numId w:val="4"/>
        </w:numPr>
        <w:tabs>
          <w:tab w:val="clear" w:pos="720"/>
          <w:tab w:val="left" w:pos="0" w:leader="none"/>
        </w:tabs>
        <w:ind w:hanging="1080" w:start="1440" w:end="0"/>
        <w:rPr/>
      </w:pPr>
      <w:r>
        <w:rPr/>
        <w:t>Default Provider</w:t>
      </w:r>
    </w:p>
    <w:p>
      <w:pPr>
        <w:pStyle w:val="Heading4"/>
        <w:numPr>
          <w:ilvl w:val="0"/>
          <w:numId w:val="0"/>
        </w:numPr>
        <w:ind w:hanging="0" w:start="720"/>
        <w:rPr>
          <w:b/>
          <w:bCs/>
        </w:rPr>
      </w:pPr>
      <w:r>
        <w:rPr>
          <w:b/>
          <w:bCs/>
        </w:rPr>
        <w:t>ARM will argue this point</w:t>
      </w:r>
    </w:p>
    <w:p>
      <w:pPr>
        <w:pStyle w:val="BodyTextIndent2"/>
        <w:numPr>
          <w:ilvl w:val="0"/>
          <w:numId w:val="0"/>
        </w:numPr>
        <w:ind w:hanging="0" w:start="720" w:end="0"/>
        <w:rPr/>
      </w:pPr>
      <w:r>
        <w:rPr/>
        <w:t xml:space="preserve">The Commission should explore releasing SDG&amp;E from its default provider role.  Alternate default provider options should start with the utility exiting their existing default role: i.e. the Atlanta Gas Model. The Commission should not set an unrealistic benchmark. This would only succeed in keeping the UDC in the default role and limit the market form offering better service alternatives. The utilities standard offers should not be set bellow market price. This would discourage competition and raise concerns as to who would recover costs incurred to provide a below market price SO. </w:t>
      </w:r>
    </w:p>
    <w:p>
      <w:pPr>
        <w:pStyle w:val="Heading3"/>
        <w:numPr>
          <w:ilvl w:val="0"/>
          <w:numId w:val="4"/>
        </w:numPr>
        <w:tabs>
          <w:tab w:val="clear" w:pos="720"/>
          <w:tab w:val="left" w:pos="0" w:leader="none"/>
        </w:tabs>
        <w:ind w:hanging="720" w:start="1440" w:end="0"/>
        <w:rPr/>
      </w:pPr>
      <w:r>
        <w:rPr/>
        <w:t>SDG&amp;E Aggregator</w:t>
      </w:r>
    </w:p>
    <w:p>
      <w:pPr>
        <w:pStyle w:val="Heading4"/>
        <w:rPr>
          <w:b/>
          <w:bCs/>
        </w:rPr>
      </w:pPr>
      <w:r>
        <w:rPr>
          <w:b/>
          <w:bCs/>
        </w:rPr>
        <w:t>Both ARM and Enron will argue this point</w:t>
      </w:r>
    </w:p>
    <w:p>
      <w:pPr>
        <w:pStyle w:val="Normal"/>
        <w:ind w:start="720" w:end="0"/>
        <w:rPr>
          <w:sz w:val="24"/>
          <w:szCs w:val="24"/>
        </w:rPr>
      </w:pPr>
      <w:r>
        <w:rPr>
          <w:sz w:val="24"/>
          <w:szCs w:val="24"/>
        </w:rPr>
        <w:t>Should SDG&amp;E be allowed to act as aggregator?  Yes, so long as data is provided under equal terms and conditions to all market participants.  The aggregation of participating customers can be implemented immediately. However, the role of SDG&amp;E as an aggregator should be defined such that SDG&amp;E is a non-profit participant providing a facilitating role. Customers participating in the aggregations program should be the ESP’s customers for that ESP that has won the bid. The Commission needs to address how such aggregation would comport w/ existing consumer protection rules.</w:t>
      </w:r>
    </w:p>
    <w:p>
      <w:pPr>
        <w:pStyle w:val="BodyText2"/>
        <w:rPr>
          <w:sz w:val="24"/>
          <w:szCs w:val="24"/>
        </w:rPr>
      </w:pPr>
      <w:r>
        <w:rPr>
          <w:sz w:val="24"/>
          <w:szCs w:val="24"/>
        </w:rPr>
      </w:r>
    </w:p>
    <w:p>
      <w:pPr>
        <w:pStyle w:val="Heading2"/>
        <w:tabs>
          <w:tab w:val="clear" w:pos="720"/>
          <w:tab w:val="left" w:pos="360" w:leader="none"/>
        </w:tabs>
        <w:ind w:hanging="360" w:start="360" w:end="0"/>
        <w:rPr/>
      </w:pPr>
      <w:r>
        <w:rPr/>
        <w:t>CARE (low-income assistance)</w:t>
      </w:r>
    </w:p>
    <w:p>
      <w:pPr>
        <w:pStyle w:val="BodyTextIndent2"/>
        <w:ind w:start="0" w:end="0"/>
        <w:rPr>
          <w:b/>
          <w:bCs/>
        </w:rPr>
      </w:pPr>
      <w:r>
        <w:rPr>
          <w:b/>
          <w:bCs/>
        </w:rPr>
        <w:t>Enron and ARM will stay silent on this issue</w:t>
      </w:r>
    </w:p>
    <w:p>
      <w:pPr>
        <w:pStyle w:val="Heading2"/>
        <w:tabs>
          <w:tab w:val="clear" w:pos="720"/>
          <w:tab w:val="left" w:pos="360" w:leader="none"/>
        </w:tabs>
        <w:ind w:hanging="360" w:start="360" w:end="0"/>
        <w:rPr/>
      </w:pPr>
      <w:r>
        <w:rPr/>
        <w:t>Investigation into Market Behavior</w:t>
      </w:r>
    </w:p>
    <w:p>
      <w:pPr>
        <w:pStyle w:val="Heading5"/>
        <w:rPr/>
      </w:pPr>
      <w:r>
        <w:rPr/>
        <w:t xml:space="preserve">Both ARM and Enron will argue this point </w:t>
      </w:r>
    </w:p>
    <w:p>
      <w:pPr>
        <w:pStyle w:val="BodyTextIndent2"/>
        <w:numPr>
          <w:ilvl w:val="2"/>
          <w:numId w:val="5"/>
        </w:numPr>
        <w:tabs>
          <w:tab w:val="left" w:pos="0" w:leader="none"/>
          <w:tab w:val="left" w:pos="720" w:leader="none"/>
        </w:tabs>
        <w:ind w:hanging="720" w:start="1440" w:end="0"/>
        <w:rPr/>
      </w:pPr>
      <w:r>
        <w:rPr/>
        <w:t xml:space="preserve">Should be a holistic approach, looking at all aspects of the market, including ISO/PX/UDCs/Generators and not isolate certain market participants.  </w:t>
      </w:r>
    </w:p>
    <w:p>
      <w:pPr>
        <w:pStyle w:val="BodyTextIndent2"/>
        <w:numPr>
          <w:ilvl w:val="2"/>
          <w:numId w:val="5"/>
        </w:numPr>
        <w:tabs>
          <w:tab w:val="left" w:pos="0" w:leader="none"/>
          <w:tab w:val="left" w:pos="720" w:leader="none"/>
        </w:tabs>
        <w:ind w:hanging="720" w:start="1440" w:end="0"/>
        <w:rPr/>
      </w:pPr>
      <w:r>
        <w:rPr/>
        <w:t>The questions should focus on whether there have been any tariff violations or laws broken. There should be consideration as to whether or not the rule are correct</w:t>
      </w:r>
    </w:p>
    <w:p>
      <w:pPr>
        <w:pStyle w:val="Normal"/>
        <w:numPr>
          <w:ilvl w:val="2"/>
          <w:numId w:val="5"/>
        </w:numPr>
        <w:tabs>
          <w:tab w:val="left" w:pos="0" w:leader="none"/>
          <w:tab w:val="left" w:pos="720" w:leader="none"/>
        </w:tabs>
        <w:ind w:hanging="720" w:start="1440" w:end="0"/>
        <w:rPr>
          <w:sz w:val="24"/>
          <w:szCs w:val="24"/>
        </w:rPr>
      </w:pPr>
      <w:r>
        <w:rPr>
          <w:sz w:val="24"/>
          <w:szCs w:val="24"/>
        </w:rPr>
        <w:t xml:space="preserve">The CPUC should ask FERC to other the ISO and PX to make all data publicly available. </w:t>
      </w:r>
    </w:p>
    <w:p>
      <w:pPr>
        <w:pStyle w:val="Heading2"/>
        <w:tabs>
          <w:tab w:val="clear" w:pos="720"/>
          <w:tab w:val="left" w:pos="360" w:leader="none"/>
        </w:tabs>
        <w:ind w:hanging="360" w:start="360" w:end="0"/>
        <w:rPr/>
      </w:pPr>
      <w:r>
        <w:rPr/>
        <w:t>Causes of Price Increases?</w:t>
      </w:r>
    </w:p>
    <w:p>
      <w:pPr>
        <w:pStyle w:val="Heading5"/>
        <w:rPr/>
      </w:pPr>
      <w:r>
        <w:rPr/>
        <w:t xml:space="preserve">Both ARM and Enron will argue this point </w:t>
      </w:r>
    </w:p>
    <w:p>
      <w:pPr>
        <w:pStyle w:val="Normal"/>
        <w:numPr>
          <w:ilvl w:val="0"/>
          <w:numId w:val="6"/>
        </w:numPr>
        <w:tabs>
          <w:tab w:val="clear" w:pos="720"/>
          <w:tab w:val="left" w:pos="0" w:leader="none"/>
          <w:tab w:val="left" w:pos="360" w:leader="none"/>
        </w:tabs>
        <w:ind w:hanging="1080" w:start="1800" w:end="0"/>
        <w:rPr>
          <w:sz w:val="24"/>
          <w:szCs w:val="24"/>
        </w:rPr>
      </w:pPr>
      <w:r>
        <w:rPr>
          <w:sz w:val="24"/>
          <w:szCs w:val="24"/>
        </w:rPr>
        <w:t>The only cause of the price increase is because of inadequate supply to meet growing demand.</w:t>
      </w:r>
    </w:p>
    <w:p>
      <w:pPr>
        <w:pStyle w:val="Normal"/>
        <w:numPr>
          <w:ilvl w:val="0"/>
          <w:numId w:val="6"/>
        </w:numPr>
        <w:tabs>
          <w:tab w:val="clear" w:pos="720"/>
          <w:tab w:val="left" w:pos="0" w:leader="none"/>
          <w:tab w:val="left" w:pos="360" w:leader="none"/>
        </w:tabs>
        <w:ind w:hanging="720" w:start="1800" w:end="0"/>
        <w:rPr>
          <w:sz w:val="24"/>
          <w:szCs w:val="24"/>
        </w:rPr>
      </w:pPr>
      <w:r>
        <w:rPr>
          <w:sz w:val="24"/>
          <w:szCs w:val="24"/>
        </w:rPr>
        <w:t>This is a west-wide problem not California specific</w:t>
      </w:r>
    </w:p>
    <w:p>
      <w:pPr>
        <w:pStyle w:val="Normal"/>
        <w:ind w:start="720" w:end="0"/>
        <w:rPr>
          <w:sz w:val="24"/>
          <w:szCs w:val="24"/>
        </w:rPr>
      </w:pPr>
      <w:r>
        <w:rPr>
          <w:sz w:val="24"/>
          <w:szCs w:val="24"/>
        </w:rPr>
        <w:t>3.  Any mechanisms to “make ratepayers whole” will decrease investor confidence in an already shaky structure as generators/marketers will have no confidence that they will receive fair compensation for services rendered.</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start="360" w:end="0"/>
        <w:rPr>
          <w:sz w:val="24"/>
          <w:szCs w:val="24"/>
        </w:rPr>
      </w:pPr>
      <w:r>
        <w:rPr>
          <w:sz w:val="24"/>
          <w:szCs w:val="24"/>
        </w:rPr>
      </w:r>
    </w:p>
    <w:p>
      <w:pPr>
        <w:pStyle w:val="Normal"/>
        <w:rPr>
          <w:sz w:val="24"/>
          <w:szCs w:val="24"/>
        </w:rPr>
      </w:pPr>
      <w:r>
        <w:rPr>
          <w:sz w:val="24"/>
          <w:szCs w:val="24"/>
        </w:rPr>
      </w:r>
    </w:p>
    <w:p>
      <w:pPr>
        <w:pStyle w:val="Normal"/>
        <w:ind w:start="360" w:end="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360"/>
        </w:tabs>
        <w:ind w:start="36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360"/>
        </w:tabs>
        <w:ind w:start="360" w:hanging="360"/>
      </w:pPr>
    </w:lvl>
    <w:lvl w:ilvl="3">
      <w:start w:val="1"/>
      <w:numFmt w:val="decimal"/>
      <w:lvlText w:val="%4"/>
      <w:lvlJc w:val="start"/>
      <w:pPr>
        <w:tabs>
          <w:tab w:val="num" w:pos="360"/>
        </w:tabs>
        <w:ind w:start="36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360"/>
        </w:tabs>
        <w:ind w:start="36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spacing w:before="240" w:after="60"/>
      <w:outlineLvl w:val="1"/>
    </w:pPr>
    <w:rPr>
      <w:rFonts w:ascii="Arial;Arial" w:hAnsi="Arial;Arial" w:eastAsia="Arial;Arial" w:cs="Arial;Arial"/>
      <w:b/>
      <w:bCs/>
      <w:i/>
      <w:iCs/>
      <w:sz w:val="24"/>
      <w:szCs w:val="24"/>
    </w:rPr>
  </w:style>
  <w:style w:type="paragraph" w:styleId="Heading3">
    <w:name w:val="heading 3"/>
    <w:basedOn w:val="Normal"/>
    <w:next w:val="Normal"/>
    <w:qFormat/>
    <w:pPr>
      <w:keepNext w:val="true"/>
      <w:numPr>
        <w:ilvl w:val="2"/>
        <w:numId w:val="1"/>
      </w:numPr>
      <w:spacing w:before="240" w:after="60"/>
      <w:outlineLvl w:val="2"/>
    </w:pPr>
    <w:rPr>
      <w:rFonts w:ascii="Arial;Arial" w:hAnsi="Arial;Arial" w:eastAsia="Arial;Arial" w:cs="Arial;Arial"/>
      <w:sz w:val="24"/>
      <w:szCs w:val="24"/>
    </w:rPr>
  </w:style>
  <w:style w:type="paragraph" w:styleId="Heading4">
    <w:name w:val="heading 4"/>
    <w:basedOn w:val="Normal"/>
    <w:next w:val="Normal"/>
    <w:qFormat/>
    <w:pPr>
      <w:keepNext w:val="true"/>
      <w:numPr>
        <w:ilvl w:val="3"/>
        <w:numId w:val="1"/>
      </w:numPr>
      <w:ind w:hanging="0" w:start="720" w:end="0"/>
      <w:outlineLvl w:val="3"/>
    </w:pPr>
    <w:rPr>
      <w:sz w:val="24"/>
      <w:szCs w:val="24"/>
    </w:rPr>
  </w:style>
  <w:style w:type="paragraph" w:styleId="Heading5">
    <w:name w:val="heading 5"/>
    <w:basedOn w:val="Normal"/>
    <w:next w:val="Normal"/>
    <w:qFormat/>
    <w:pPr>
      <w:keepNext w:val="true"/>
      <w:numPr>
        <w:ilvl w:val="4"/>
        <w:numId w:val="1"/>
      </w:numPr>
      <w:ind w:hanging="0" w:start="720" w:end="0"/>
      <w:outlineLvl w:val="4"/>
    </w:pPr>
    <w:rPr>
      <w:b/>
      <w:bCs/>
      <w:sz w:val="24"/>
      <w:szCs w:val="24"/>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Arial" w:hAnsi="Arial;Arial" w:eastAsia="Arial;Arial" w:cs="Arial;Arial"/>
      <w:b/>
      <w:bCs/>
      <w:kern w:val="2"/>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sz w:val="24"/>
      <w:szCs w:val="24"/>
    </w:rPr>
  </w:style>
  <w:style w:type="paragraph" w:styleId="BodyTextIndent2">
    <w:name w:val="Body Text Indent 2"/>
    <w:basedOn w:val="Normal"/>
    <w:qFormat/>
    <w:pPr>
      <w:ind w:hanging="0" w:start="360" w:end="0"/>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2000-08-08T22:28:00Z</dcterms:created>
  <dc:creator>Mona L Petrochko</dc:creator>
  <dc:description/>
  <dc:language>en-CA</dc:language>
  <cp:lastModifiedBy>Bruno Gaillard</cp:lastModifiedBy>
  <cp:lastPrinted>2000-08-08T17:26:00Z</cp:lastPrinted>
  <dcterms:modified xsi:type="dcterms:W3CDTF">2000-08-08T22:28:00Z</dcterms:modified>
  <cp:revision>2</cp:revision>
  <dc:subject/>
  <dc:title>Draft:  For Purposes of Discussion</dc:title>
</cp:coreProperties>
</file>