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t>Final Draft:   28.03.00</w:t>
      </w:r>
    </w:p>
    <w:p>
      <w:pPr>
        <w:pStyle w:val="Normal"/>
        <w:jc w:val="center"/>
        <w:rPr/>
      </w:pPr>
      <w:r>
        <w:rPr/>
        <w:t>Form of Credit Derivative Confirmation</w:t>
        <w:br/>
        <w:t>for Canadian/Finnish/German/Norwegian/Swedish/Swiss/UK/US</w:t>
        <w:br/>
        <w:t>Credit Products</w:t>
      </w:r>
    </w:p>
    <w:p>
      <w:pPr>
        <w:pStyle w:val="Normal"/>
        <w:jc w:val="center"/>
        <w:rPr/>
      </w:pPr>
      <w:r>
        <w:rPr/>
        <w:t>[on the letterhead of the Enron counterparty]</w:t>
      </w:r>
    </w:p>
    <w:p>
      <w:pPr>
        <w:pStyle w:val="Normal"/>
        <w:rPr/>
      </w:pPr>
      <w:r>
        <w:rPr/>
        <w:t>[</w:t>
      </w:r>
      <w:r>
        <w:rPr>
          <w:b/>
          <w:i/>
        </w:rPr>
        <w:t>Note:  This confirmation is based on the ISDA standard shortform confirmation for credit derivatives but amended to be consistent with Enron’s GTCs.</w:t>
      </w:r>
      <w:r>
        <w:rPr/>
        <w:t>]</w:t>
      </w:r>
    </w:p>
    <w:p>
      <w:pPr>
        <w:pStyle w:val="Normal"/>
        <w:rPr/>
      </w:pPr>
      <w:r>
        <w:rPr/>
      </w:r>
    </w:p>
    <w:p>
      <w:pPr>
        <w:pStyle w:val="Normal"/>
        <w:rPr/>
      </w:pPr>
      <w:r>
        <w:rPr/>
        <w:t>………</w:t>
      </w:r>
    </w:p>
    <w:p>
      <w:pPr>
        <w:pStyle w:val="Normal"/>
        <w:rPr/>
      </w:pPr>
      <w:r>
        <w:rPr/>
      </w:r>
    </w:p>
    <w:tbl>
      <w:tblPr>
        <w:tblW w:w="8720" w:type="dxa"/>
        <w:jc w:val="start"/>
        <w:tblInd w:w="0" w:type="dxa"/>
        <w:tblLayout w:type="fixed"/>
        <w:tblCellMar>
          <w:top w:w="0" w:type="dxa"/>
          <w:start w:w="108" w:type="dxa"/>
          <w:bottom w:w="0" w:type="dxa"/>
          <w:end w:w="108" w:type="dxa"/>
        </w:tblCellMar>
      </w:tblPr>
      <w:tblGrid>
        <w:gridCol w:w="2660"/>
        <w:gridCol w:w="6060"/>
      </w:tblGrid>
      <w:tr>
        <w:trPr/>
        <w:tc>
          <w:tcPr>
            <w:tcW w:w="2660" w:type="dxa"/>
            <w:tcBorders/>
          </w:tcPr>
          <w:p>
            <w:pPr>
              <w:pStyle w:val="Normal"/>
              <w:widowControl/>
              <w:bidi w:val="0"/>
              <w:spacing w:lineRule="atLeast" w:line="280" w:before="0" w:after="280"/>
              <w:rPr/>
            </w:pPr>
            <w:r>
              <w:rPr/>
              <w:t>3.  Seller Payments</w:t>
            </w:r>
          </w:p>
        </w:tc>
        <w:tc>
          <w:tcPr>
            <w:tcW w:w="6060" w:type="dxa"/>
            <w:tcBorders/>
          </w:tcPr>
          <w:p>
            <w:pPr>
              <w:pStyle w:val="Normal"/>
              <w:tabs>
                <w:tab w:val="clear" w:pos="709"/>
                <w:tab w:val="left" w:pos="742"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napToGrid w:val="false"/>
              <w:spacing w:before="0" w:after="280"/>
              <w:rPr/>
            </w:pPr>
            <w:r>
              <w:rPr/>
            </w:r>
          </w:p>
        </w:tc>
      </w:tr>
      <w:tr>
        <w:trPr/>
        <w:tc>
          <w:tcPr>
            <w:tcW w:w="2660" w:type="dxa"/>
            <w:tcBorders/>
          </w:tcPr>
          <w:p>
            <w:pPr>
              <w:pStyle w:val="Normal"/>
              <w:widowControl/>
              <w:bidi w:val="0"/>
              <w:spacing w:lineRule="atLeast" w:line="280" w:before="0" w:after="280"/>
              <w:rPr/>
            </w:pPr>
            <w:r>
              <w:rPr/>
              <w:t>Seller Payment:</w:t>
            </w:r>
          </w:p>
        </w:tc>
        <w:tc>
          <w:tcPr>
            <w:tcW w:w="6060" w:type="dxa"/>
            <w:tcBorders/>
          </w:tcPr>
          <w:p>
            <w:pPr>
              <w:pStyle w:val="Normal"/>
              <w:tabs>
                <w:tab w:val="clear" w:pos="709"/>
                <w:tab w:val="left" w:pos="175"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280"/>
              <w:rPr/>
            </w:pPr>
            <w:r>
              <w:rPr/>
              <w:t>[                                                 ] payable on the Seller Payment Date.</w:t>
            </w:r>
          </w:p>
        </w:tc>
      </w:tr>
      <w:tr>
        <w:trPr/>
        <w:tc>
          <w:tcPr>
            <w:tcW w:w="2660" w:type="dxa"/>
            <w:tcBorders/>
          </w:tcPr>
          <w:p>
            <w:pPr>
              <w:pStyle w:val="Normal"/>
              <w:widowControl/>
              <w:bidi w:val="0"/>
              <w:spacing w:lineRule="atLeast" w:line="280" w:before="0" w:after="280"/>
              <w:rPr/>
            </w:pPr>
            <w:r>
              <w:rPr/>
              <w:t>Seller Payment Date:</w:t>
            </w:r>
          </w:p>
        </w:tc>
        <w:tc>
          <w:tcPr>
            <w:tcW w:w="6060" w:type="dxa"/>
            <w:tcBorders/>
          </w:tcPr>
          <w:p>
            <w:pPr>
              <w:pStyle w:val="Normal"/>
              <w:tabs>
                <w:tab w:val="clear" w:pos="709"/>
                <w:tab w:val="left" w:pos="0"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280"/>
              <w:ind w:hanging="34" w:start="34" w:end="0"/>
              <w:rPr/>
            </w:pPr>
            <w:r>
              <w:rPr/>
              <w:t>The date falling five Business Days after the date on which a valid Bankruptcy Event Notice and a Notice of Publicly Available Information is delivered by one party to the other.</w:t>
            </w:r>
          </w:p>
        </w:tc>
      </w:tr>
      <w:tr>
        <w:trPr/>
        <w:tc>
          <w:tcPr>
            <w:tcW w:w="2660" w:type="dxa"/>
            <w:tcBorders/>
          </w:tcPr>
          <w:p>
            <w:pPr>
              <w:pStyle w:val="Normal"/>
              <w:widowControl/>
              <w:bidi w:val="0"/>
              <w:spacing w:lineRule="atLeast" w:line="280" w:before="0" w:after="280"/>
              <w:rPr/>
            </w:pPr>
            <w:r>
              <w:rPr/>
              <w:t>Conditions to Seller Payment:</w:t>
            </w:r>
          </w:p>
        </w:tc>
        <w:tc>
          <w:tcPr>
            <w:tcW w:w="6060" w:type="dxa"/>
            <w:tcBorders/>
          </w:tcPr>
          <w:p>
            <w:pPr>
              <w:pStyle w:val="Normal"/>
              <w:tabs>
                <w:tab w:val="clear" w:pos="709"/>
                <w:tab w:val="clear" w:pos="1418"/>
                <w:tab w:val="left" w:pos="0" w:leader="none"/>
                <w:tab w:val="left" w:pos="2126" w:leader="none"/>
                <w:tab w:val="left" w:pos="2835" w:leader="none"/>
                <w:tab w:val="left" w:pos="3544" w:leader="none"/>
                <w:tab w:val="left" w:pos="4253" w:leader="none"/>
                <w:tab w:val="left" w:pos="4961" w:leader="none"/>
                <w:tab w:val="left" w:pos="5670" w:leader="none"/>
                <w:tab w:val="right" w:pos="8363" w:leader="none"/>
              </w:tabs>
              <w:ind w:hanging="34" w:start="34" w:end="0"/>
              <w:rPr/>
            </w:pPr>
            <w:r>
              <w:rPr/>
              <w:t>The obligation of the Seller to pay the Seller Payment is conditional upon:</w:t>
            </w:r>
          </w:p>
          <w:p>
            <w:pPr>
              <w:pStyle w:val="Normal"/>
              <w:tabs>
                <w:tab w:val="clear" w:pos="709"/>
                <w:tab w:val="clear" w:pos="1418"/>
                <w:tab w:val="left" w:pos="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42" w:start="742" w:end="0"/>
              <w:rPr/>
            </w:pPr>
            <w:r>
              <w:rPr/>
              <w:t>(i)</w:t>
              <w:tab/>
              <w:t xml:space="preserve">the occurrence of a Bankruptcy Event in respect of the Reference Entity on or after the Effective Date and before the Scheduled Termination Date; and </w:t>
            </w:r>
          </w:p>
          <w:p>
            <w:pPr>
              <w:pStyle w:val="Normal"/>
              <w:tabs>
                <w:tab w:val="clear" w:pos="709"/>
                <w:tab w:val="clear" w:pos="1418"/>
                <w:tab w:val="left" w:pos="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42" w:start="742" w:end="0"/>
              <w:rPr/>
            </w:pPr>
            <w:r>
              <w:rPr/>
              <w:t>(ii)</w:t>
              <w:tab/>
              <w:t>the delivery by one party to the other of a valid Bankruptcy Event Notice and Notice of Publicly Available Information on or before the date falling fourteen calendar days after the Scheduled Termination Date; and</w:t>
            </w:r>
          </w:p>
          <w:p>
            <w:pPr>
              <w:pStyle w:val="Normal"/>
              <w:tabs>
                <w:tab w:val="clear" w:pos="709"/>
                <w:tab w:val="clear" w:pos="1418"/>
                <w:tab w:val="left" w:pos="0" w:leader="none"/>
                <w:tab w:val="left" w:pos="2126" w:leader="none"/>
                <w:tab w:val="left" w:pos="2835" w:leader="none"/>
                <w:tab w:val="left" w:pos="3544" w:leader="none"/>
                <w:tab w:val="left" w:pos="4253" w:leader="none"/>
                <w:tab w:val="left" w:pos="4961" w:leader="none"/>
                <w:tab w:val="left" w:pos="5670" w:leader="none"/>
                <w:tab w:val="right" w:pos="8363" w:leader="none"/>
              </w:tabs>
              <w:ind w:hanging="742" w:start="742" w:end="0"/>
              <w:rPr/>
            </w:pPr>
            <w:r>
              <w:rPr/>
              <w:t>(ii)</w:t>
              <w:tab/>
              <w:t>the Calculation Agent determining that the Bankruptcy Event Notice and the Notice of Publicly Available Information are valid.</w:t>
            </w:r>
          </w:p>
          <w:p>
            <w:pPr>
              <w:pStyle w:val="Normal"/>
              <w:tabs>
                <w:tab w:val="clear" w:pos="709"/>
                <w:tab w:val="clear" w:pos="1418"/>
                <w:tab w:val="left" w:pos="0" w:leader="none"/>
                <w:tab w:val="left" w:pos="2126" w:leader="none"/>
                <w:tab w:val="left" w:pos="2835" w:leader="none"/>
                <w:tab w:val="left" w:pos="3544" w:leader="none"/>
                <w:tab w:val="left" w:pos="4253" w:leader="none"/>
                <w:tab w:val="left" w:pos="4961" w:leader="none"/>
                <w:tab w:val="left" w:pos="5670" w:leader="none"/>
                <w:tab w:val="right" w:pos="8363" w:leader="none"/>
              </w:tabs>
              <w:ind w:hanging="34" w:start="34" w:end="0"/>
              <w:rPr/>
            </w:pPr>
            <w:r>
              <w:rPr/>
              <w:t>Only one valid Bankruptcy Event Notice and Notice of Publicly Available Information may be delivered and such notices may be delivered by the Seller or the Buyer.  Each party agrees that the determination of the Calculation Agent as to the validity of any such notice shall, in the absence of manifest error, be final.</w:t>
            </w:r>
          </w:p>
          <w:p>
            <w:pPr>
              <w:pStyle w:val="Normal"/>
              <w:tabs>
                <w:tab w:val="clear" w:pos="709"/>
                <w:tab w:val="clear" w:pos="1418"/>
                <w:tab w:val="left" w:pos="0"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280"/>
              <w:ind w:hanging="34" w:start="34" w:end="0"/>
              <w:rPr>
                <w:b/>
              </w:rPr>
            </w:pPr>
            <w:r>
              <w:rPr>
                <w:b/>
              </w:rPr>
              <w:t>For the avoidance of doubt, upon a Seller Payment, neither party shall be obliged to make any payment to the other under this Confirmation.</w:t>
            </w:r>
          </w:p>
        </w:tc>
      </w:tr>
    </w:tbl>
    <w:p>
      <w:pPr>
        <w:pStyle w:val="Normal"/>
        <w:jc w:val="end"/>
        <w:rPr/>
      </w:pPr>
      <w:r>
        <w:rPr/>
      </w:r>
    </w:p>
    <w:p>
      <w:pPr>
        <w:pStyle w:val="Normal"/>
        <w:spacing w:before="0" w:after="280"/>
        <w:jc w:val="end"/>
        <w:rPr/>
      </w:pPr>
      <w:r>
        <w:rPr/>
      </w:r>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altName w:val="Courier New"/>
    <w:charset w:val="00" w:characterSet="windows-1252"/>
    <w:family w:val="auto"/>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000000/00000</w:t>
    </w:r>
    <w:r>
      <w:rPr/>
      <w:fldChar w:fldCharType="end"/>
    </w:r>
    <w:r>
      <w:rPr>
        <w:rFonts w:eastAsia="Charter BT;Courier New"/>
      </w:rPr>
      <w:t xml:space="preserve">  </w:t>
    </w:r>
    <w:r>
      <w:rPr/>
      <w:fldChar w:fldCharType="begin"/>
    </w:r>
    <w:r>
      <w:rPr/>
      <w:instrText xml:space="preserve"> DOCPROPERTY "udp_DocID"</w:instrText>
    </w:r>
    <w:r>
      <w:rPr/>
      <w:fldChar w:fldCharType="separate"/>
    </w:r>
    <w:r>
      <w:rPr/>
      <w:t>CD003683890</w:t>
    </w:r>
    <w:r>
      <w:rPr/>
      <w:fldChar w:fldCharType="end"/>
    </w:r>
    <w:r>
      <w:rPr>
        <w:rFonts w:eastAsia="Charter BT;Courier New"/>
      </w:rPr>
      <w:t xml:space="preserve"> </w:t>
    </w:r>
    <w:r>
      <w:rPr/>
      <w:fldChar w:fldCharType="begin"/>
    </w:r>
    <w:r>
      <w:rPr/>
      <w:instrText xml:space="preserve"> DOCPROPERTY "udp_Author"</w:instrText>
    </w:r>
    <w:r>
      <w:rPr/>
      <w:fldChar w:fldCharType="separate"/>
    </w:r>
    <w:r>
      <w:rPr/>
      <w:t>ASLH</w:t>
    </w:r>
    <w:r>
      <w:rPr/>
      <w:fldChar w:fldCharType="end"/>
    </w:r>
    <w:r>
      <w:rPr>
        <w:rFonts w:eastAsia="Charter BT;Courier New"/>
      </w:rPr>
      <w:t xml:space="preserve"> </w:t>
    </w:r>
    <w:r>
      <w:rPr/>
      <w:fldChar w:fldCharType="begin"/>
    </w:r>
    <w:r>
      <w:rPr/>
      <w:instrText xml:space="preserve"> DATE \@"ddMMyy\:HHmm" </w:instrText>
    </w:r>
    <w:r>
      <w:rPr/>
      <w:fldChar w:fldCharType="separate"/>
    </w:r>
    <w:r>
      <w:rPr/>
      <w:t>280925:0828</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000000/00000</w:t>
    </w:r>
    <w:r>
      <w:rPr/>
      <w:fldChar w:fldCharType="end"/>
    </w:r>
    <w:r>
      <w:rPr>
        <w:rFonts w:eastAsia="Charter BT;Courier New"/>
      </w:rPr>
      <w:t xml:space="preserve">  </w:t>
    </w:r>
    <w:r>
      <w:rPr/>
      <w:fldChar w:fldCharType="begin"/>
    </w:r>
    <w:r>
      <w:rPr/>
      <w:instrText xml:space="preserve"> DOCPROPERTY "udp_DocID"</w:instrText>
    </w:r>
    <w:r>
      <w:rPr/>
      <w:fldChar w:fldCharType="separate"/>
    </w:r>
    <w:r>
      <w:rPr/>
      <w:t>CD003683890</w:t>
    </w:r>
    <w:r>
      <w:rPr/>
      <w:fldChar w:fldCharType="end"/>
    </w:r>
    <w:r>
      <w:rPr>
        <w:rFonts w:eastAsia="Charter BT;Courier New"/>
      </w:rPr>
      <w:t xml:space="preserve">  </w:t>
    </w:r>
    <w:r>
      <w:rPr/>
      <w:fldChar w:fldCharType="begin"/>
    </w:r>
    <w:r>
      <w:rPr/>
      <w:instrText xml:space="preserve"> DOCPROPERTY "udp_Author"</w:instrText>
    </w:r>
    <w:r>
      <w:rPr/>
      <w:fldChar w:fldCharType="separate"/>
    </w:r>
    <w:r>
      <w:rPr/>
      <w:t>ASLH</w:t>
    </w:r>
    <w:r>
      <w:rPr/>
      <w:fldChar w:fldCharType="end"/>
    </w:r>
    <w:r>
      <w:rPr>
        <w:rFonts w:eastAsia="Charter BT;Courier New"/>
      </w:rPr>
      <w:t xml:space="preserve">  </w:t>
    </w:r>
    <w:r>
      <w:rPr/>
      <w:fldChar w:fldCharType="begin"/>
    </w:r>
    <w:r>
      <w:rPr/>
      <w:instrText xml:space="preserve"> DATE \@"ddMMyy\:HHmm" </w:instrText>
    </w:r>
    <w:r>
      <w:rPr/>
      <w:fldChar w:fldCharType="separate"/>
    </w:r>
    <w:r>
      <w:rPr/>
      <w:t>280925:0828</w:t>
    </w:r>
    <w:r>
      <w:rPr/>
      <w:fldChar w:fldCharType="end"/>
    </w:r>
  </w:p>
  <w:p>
    <w:pPr>
      <w:pStyle w:val="Footer"/>
      <w:spacing w:before="0" w:after="28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8"/>
      </w:pPr>
    </w:lvl>
    <w:lvl w:ilvl="2">
      <w:start w:val="1"/>
      <w:pStyle w:val="Heading3"/>
      <w:numFmt w:val="upperLetter"/>
      <w:lvlText w:val="(%3)"/>
      <w:lvlJc w:val="start"/>
      <w:pPr>
        <w:tabs>
          <w:tab w:val="num" w:pos="1418"/>
        </w:tabs>
        <w:ind w:start="1418" w:hanging="708"/>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8"/>
      </w:pPr>
    </w:lvl>
    <w:lvl w:ilvl="5">
      <w:start w:val="1"/>
      <w:pStyle w:val="Heading6"/>
      <w:numFmt w:val="decimal"/>
      <w:lvlText w:val="(%6)"/>
      <w:lvlJc w:val="start"/>
      <w:pPr>
        <w:tabs>
          <w:tab w:val="num" w:pos="3544"/>
        </w:tabs>
        <w:ind w:start="3544" w:hanging="708"/>
      </w:pPr>
    </w:lvl>
    <w:lvl w:ilvl="6">
      <w:start w:val="1"/>
      <w:pStyle w:val="Heading7"/>
      <w:numFmt w:val="upperLetter"/>
      <w:lvlText w:val="(%7)"/>
      <w:lvlJc w:val="start"/>
      <w:pPr>
        <w:tabs>
          <w:tab w:val="num" w:pos="4253"/>
        </w:tabs>
        <w:ind w:start="4253" w:hanging="708"/>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2"/>
        </w:tabs>
        <w:ind w:start="5670" w:hanging="708"/>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8"/>
      </w:pPr>
    </w:lvl>
    <w:lvl w:ilvl="2">
      <w:start w:val="1"/>
      <w:numFmt w:val="upperLetter"/>
      <w:lvlText w:val="(%3)"/>
      <w:lvlJc w:val="start"/>
      <w:pPr>
        <w:tabs>
          <w:tab w:val="num" w:pos="1418"/>
        </w:tabs>
        <w:ind w:start="1418" w:hanging="708"/>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8"/>
      </w:pPr>
    </w:lvl>
    <w:lvl w:ilvl="5">
      <w:start w:val="1"/>
      <w:numFmt w:val="decimal"/>
      <w:lvlText w:val="(%6)"/>
      <w:lvlJc w:val="start"/>
      <w:pPr>
        <w:tabs>
          <w:tab w:val="num" w:pos="3544"/>
        </w:tabs>
        <w:ind w:start="3544" w:hanging="708"/>
      </w:pPr>
    </w:lvl>
    <w:lvl w:ilvl="6">
      <w:start w:val="1"/>
      <w:numFmt w:val="upperLetter"/>
      <w:lvlText w:val="(%7)"/>
      <w:lvlJc w:val="start"/>
      <w:pPr>
        <w:tabs>
          <w:tab w:val="num" w:pos="4253"/>
        </w:tabs>
        <w:ind w:start="4253" w:hanging="708"/>
      </w:pPr>
    </w:lvl>
    <w:lvl w:ilvl="7">
      <w:start w:val="1"/>
      <w:numFmt w:val="decimal"/>
      <w:lvlText w:val="(%8)"/>
      <w:lvlJc w:val="start"/>
      <w:pPr>
        <w:tabs>
          <w:tab w:val="num" w:pos="4961"/>
        </w:tabs>
        <w:ind w:start="4961" w:hanging="708"/>
      </w:pPr>
    </w:lvl>
    <w:lvl w:ilvl="8">
      <w:start w:val="1"/>
      <w:numFmt w:val="lowerRoman"/>
      <w:lvlText w:val="(%9)"/>
      <w:lvlJc w:val="start"/>
      <w:pPr>
        <w:tabs>
          <w:tab w:val="num" w:pos="5682"/>
        </w:tabs>
        <w:ind w:start="5670" w:hanging="708"/>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Courier New" w:hAnsi="Charter BT;Courier New" w:eastAsia="Times New Roman" w:cs="Charter BT;Courier New"/>
      <w:color w:val="auto"/>
      <w:kern w:val="2"/>
      <w:sz w:val="20"/>
      <w:szCs w:val="20"/>
      <w:lang w:val="en-GB" w:eastAsia="zh-CN" w:bidi="hi-IN"/>
    </w:rPr>
  </w:style>
  <w:style w:type="paragraph" w:styleId="Heading1">
    <w:name w:val="heading 1"/>
    <w:basedOn w:val="Normal"/>
    <w:next w:val="Normal"/>
    <w:qFormat/>
    <w:pPr>
      <w:numPr>
        <w:ilvl w:val="0"/>
        <w:numId w:val="1"/>
      </w:numPr>
      <w:ind w:hanging="709" w:start="0" w:end="0"/>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righ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St40z0">
    <w:name w:val="WW8NumSt40z0"/>
    <w:qFormat/>
    <w:rPr>
      <w:rFonts w:ascii="Times" w:hAnsi="Times" w:cs="Times"/>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2000-03-28T15:22:00Z</dcterms:created>
  <dc:creator>ASLH</dc:creator>
  <dc:description/>
  <dc:language>en-CA</dc:language>
  <cp:lastModifiedBy>JMetzler</cp:lastModifiedBy>
  <cp:lastPrinted>2000-03-28T16:32:00Z</cp:lastPrinted>
  <dcterms:modified xsi:type="dcterms:W3CDTF">2000-03-28T15:22:00Z</dcterms:modified>
  <cp:revision>2</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ASLH</vt:lpwstr>
  </property>
  <property fmtid="{D5CDD505-2E9C-101B-9397-08002B2CF9AE}" pid="3" name="udp_BorderStyle">
    <vt:lpwstr>None</vt:lpwstr>
  </property>
  <property fmtid="{D5CDD505-2E9C-101B-9397-08002B2CF9AE}" pid="4" name="udp_CMNumber">
    <vt:lpwstr>000000/00000</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Bin Number</vt:lpwstr>
  </property>
  <property fmtid="{D5CDD505-2E9C-101B-9397-08002B2CF9AE}" pid="8" name="udp_Department">
    <vt:lpwstr> </vt:lpwstr>
  </property>
  <property fmtid="{D5CDD505-2E9C-101B-9397-08002B2CF9AE}" pid="9" name="udp_DocID">
    <vt:lpwstr>CD003683890</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2</vt:lpwstr>
  </property>
  <property fmtid="{D5CDD505-2E9C-101B-9397-08002B2CF9AE}" pid="13" name="udp_Matter">
    <vt:lpwstr>Bin Number</vt:lpwstr>
  </property>
  <property fmtid="{D5CDD505-2E9C-101B-9397-08002B2CF9AE}" pid="14" name="udp_Renumber">
    <vt:bool>0</vt:bool>
  </property>
  <property fmtid="{D5CDD505-2E9C-101B-9397-08002B2CF9AE}" pid="15" name="udp_TemplateVersion">
    <vt:lpwstr>1.02.0001</vt:lpwstr>
  </property>
  <property fmtid="{D5CDD505-2E9C-101B-9397-08002B2CF9AE}" pid="16" name="udp_Typist">
    <vt:lpwstr>ASLH</vt:lpwstr>
  </property>
  <property fmtid="{D5CDD505-2E9C-101B-9397-08002B2CF9AE}" pid="17" name="udp_Version">
    <vt:lpwstr>16</vt:lpwstr>
  </property>
</Properties>
</file>