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90" w:type="dxa"/>
        <w:jc w:val="start"/>
        <w:tblInd w:w="-432" w:type="dxa"/>
        <w:tblLayout w:type="fixed"/>
        <w:tblCellMar>
          <w:top w:w="0" w:type="dxa"/>
          <w:start w:w="108" w:type="dxa"/>
          <w:bottom w:w="0" w:type="dxa"/>
          <w:end w:w="108" w:type="dxa"/>
        </w:tblCellMar>
      </w:tblPr>
      <w:tblGrid>
        <w:gridCol w:w="6750"/>
        <w:gridCol w:w="3240"/>
      </w:tblGrid>
      <w:tr>
        <w:trPr/>
        <w:tc>
          <w:tcPr>
            <w:tcW w:w="6750" w:type="dxa"/>
            <w:tcBorders/>
          </w:tcPr>
          <w:p>
            <w:pPr>
              <w:pStyle w:val="Header"/>
              <w:tabs>
                <w:tab w:val="clear" w:pos="4320"/>
                <w:tab w:val="clear" w:pos="8640"/>
              </w:tabs>
              <w:rPr/>
            </w:pPr>
            <w:r>
              <w:rPr/>
              <w:t>Draft</w:t>
            </w:r>
          </w:p>
          <w:p>
            <w:pPr>
              <w:pStyle w:val="Normal"/>
              <w:rPr/>
            </w:pPr>
            <w:r>
              <w:rPr/>
            </w:r>
          </w:p>
          <w:p>
            <w:pPr>
              <w:pStyle w:val="Normal"/>
              <w:rPr/>
            </w:pPr>
            <w:r>
              <w:rPr/>
            </w:r>
          </w:p>
          <w:p>
            <w:pPr>
              <w:pStyle w:val="Normal"/>
              <w:rPr/>
            </w:pPr>
            <w:r>
              <w:rPr/>
            </w:r>
          </w:p>
        </w:tc>
        <w:tc>
          <w:tcPr>
            <w:tcW w:w="3240" w:type="dxa"/>
            <w:tcBorders/>
          </w:tcPr>
          <w:p>
            <w:pPr>
              <w:pStyle w:val="Normal"/>
              <w:snapToGrid w:val="false"/>
              <w:rPr>
                <w:sz w:val="20"/>
              </w:rPr>
            </w:pPr>
            <w:r>
              <w:rPr>
                <w:sz w:val="20"/>
              </w:rPr>
            </w:r>
          </w:p>
          <w:p>
            <w:pPr>
              <w:pStyle w:val="Normal"/>
              <w:rPr>
                <w:b/>
                <w:sz w:val="20"/>
              </w:rPr>
            </w:pPr>
            <w:r>
              <w:rPr>
                <w:b/>
                <w:sz w:val="20"/>
              </w:rPr>
              <w:t>Enron Credit Limited</w:t>
            </w:r>
          </w:p>
          <w:p>
            <w:pPr>
              <w:pStyle w:val="Normal"/>
              <w:rPr>
                <w:i/>
                <w:i/>
                <w:sz w:val="20"/>
              </w:rPr>
            </w:pPr>
            <w:r>
              <w:rPr>
                <w:i/>
                <w:sz w:val="20"/>
              </w:rPr>
              <w:t>Enron House, 40 Grosvenor Place,</w:t>
            </w:r>
          </w:p>
          <w:p>
            <w:pPr>
              <w:pStyle w:val="Normal"/>
              <w:rPr>
                <w:i/>
                <w:i/>
                <w:sz w:val="20"/>
              </w:rPr>
            </w:pPr>
            <w:r>
              <w:rPr>
                <w:i/>
                <w:sz w:val="20"/>
              </w:rPr>
              <w:t>London, SW1X 7EN</w:t>
            </w:r>
          </w:p>
          <w:p>
            <w:pPr>
              <w:pStyle w:val="Normal"/>
              <w:rPr>
                <w:i/>
                <w:i/>
                <w:sz w:val="20"/>
              </w:rPr>
            </w:pPr>
            <w:r>
              <w:rPr>
                <w:i/>
                <w:sz w:val="20"/>
              </w:rPr>
              <w:t>Tel:  020 7783 0000</w:t>
            </w:r>
          </w:p>
          <w:p>
            <w:pPr>
              <w:pStyle w:val="Heading2"/>
              <w:ind w:hanging="0" w:start="0"/>
              <w:rPr/>
            </w:pPr>
            <w:r>
              <w:rPr/>
              <w:t>Fax: 020 7783 0001</w:t>
            </w:r>
          </w:p>
          <w:p>
            <w:pPr>
              <w:pStyle w:val="Normal"/>
              <w:rPr>
                <w:sz w:val="20"/>
              </w:rPr>
            </w:pPr>
            <w:r>
              <w:rPr>
                <w:sz w:val="20"/>
              </w:rPr>
            </w:r>
          </w:p>
          <w:p>
            <w:pPr>
              <w:pStyle w:val="Normal"/>
              <w:rPr>
                <w:sz w:val="20"/>
              </w:rPr>
            </w:pPr>
            <w:r>
              <w:rPr>
                <w:sz w:val="20"/>
              </w:rPr>
            </w:r>
          </w:p>
        </w:tc>
      </w:tr>
    </w:tbl>
    <w:p>
      <w:pPr>
        <w:pStyle w:val="Normal"/>
        <w:rPr>
          <w:lang w:val="en-GB"/>
        </w:rPr>
      </w:pPr>
      <w:r>
        <w:rPr>
          <w:lang w:val="en-GB"/>
        </w:rPr>
      </w:r>
    </w:p>
    <w:p>
      <w:pPr>
        <w:pStyle w:val="Normal"/>
        <w:spacing w:lineRule="auto" w:line="360"/>
        <w:jc w:val="both"/>
        <w:rPr/>
      </w:pPr>
      <w:r>
        <w:rPr>
          <w:sz w:val="22"/>
        </w:rPr>
        <w:t>[</w:t>
      </w:r>
      <w:r>
        <w:rPr>
          <w:rFonts w:eastAsia="Symbol" w:cs="Symbol" w:ascii="Symbol" w:hAnsi="Symbol"/>
          <w:sz w:val="22"/>
        </w:rPr>
        <w:sym w:font="Symbol" w:char="f0b7"/>
      </w:r>
      <w:r>
        <w:rPr>
          <w:sz w:val="22"/>
        </w:rPr>
        <w:t>] October 2001</w:t>
      </w:r>
    </w:p>
    <w:p>
      <w:pPr>
        <w:pStyle w:val="Normal"/>
        <w:spacing w:lineRule="auto" w:line="360"/>
        <w:jc w:val="both"/>
        <w:rPr>
          <w:sz w:val="22"/>
        </w:rPr>
      </w:pPr>
      <w:r>
        <w:rPr>
          <w:sz w:val="22"/>
        </w:rPr>
      </w:r>
    </w:p>
    <w:p>
      <w:pPr>
        <w:pStyle w:val="BodyText3"/>
        <w:spacing w:lineRule="auto" w:line="240"/>
        <w:rPr>
          <w:szCs w:val="24"/>
        </w:rPr>
      </w:pPr>
      <w:r>
        <w:rPr>
          <w:szCs w:val="24"/>
        </w:rPr>
        <w:t>International Swaps and Derivatives Association, Inc.</w:t>
      </w:r>
    </w:p>
    <w:p>
      <w:pPr>
        <w:pStyle w:val="Normal"/>
        <w:jc w:val="both"/>
        <w:rPr>
          <w:sz w:val="22"/>
        </w:rPr>
      </w:pPr>
      <w:r>
        <w:rPr>
          <w:sz w:val="22"/>
        </w:rPr>
        <w:t xml:space="preserve">European Office </w:t>
      </w:r>
    </w:p>
    <w:p>
      <w:pPr>
        <w:pStyle w:val="Normal"/>
        <w:jc w:val="both"/>
        <w:rPr>
          <w:sz w:val="22"/>
        </w:rPr>
      </w:pPr>
      <w:r>
        <w:rPr>
          <w:sz w:val="22"/>
        </w:rPr>
        <w:t>One New Change</w:t>
      </w:r>
    </w:p>
    <w:p>
      <w:pPr>
        <w:pStyle w:val="Normal"/>
        <w:jc w:val="both"/>
        <w:rPr>
          <w:sz w:val="22"/>
        </w:rPr>
      </w:pPr>
      <w:r>
        <w:rPr>
          <w:sz w:val="22"/>
        </w:rPr>
        <w:t>London, EC4M 9QQ</w:t>
      </w:r>
    </w:p>
    <w:p>
      <w:pPr>
        <w:pStyle w:val="Normal"/>
        <w:spacing w:lineRule="auto" w:line="360"/>
        <w:jc w:val="both"/>
        <w:rPr>
          <w:sz w:val="22"/>
        </w:rPr>
      </w:pPr>
      <w:r>
        <w:rPr>
          <w:sz w:val="22"/>
        </w:rPr>
        <w:t>England</w:t>
      </w:r>
    </w:p>
    <w:p>
      <w:pPr>
        <w:pStyle w:val="Normal"/>
        <w:spacing w:lineRule="auto" w:line="360"/>
        <w:jc w:val="both"/>
        <w:rPr>
          <w:sz w:val="22"/>
        </w:rPr>
      </w:pPr>
      <w:r>
        <w:rPr>
          <w:sz w:val="22"/>
        </w:rPr>
      </w:r>
    </w:p>
    <w:p>
      <w:pPr>
        <w:pStyle w:val="Normal"/>
        <w:spacing w:lineRule="auto" w:line="360"/>
        <w:jc w:val="both"/>
        <w:rPr>
          <w:sz w:val="22"/>
        </w:rPr>
      </w:pPr>
      <w:r>
        <w:rPr>
          <w:sz w:val="22"/>
        </w:rPr>
        <w:t>Dear Sirs,</w:t>
      </w:r>
    </w:p>
    <w:p>
      <w:pPr>
        <w:pStyle w:val="Normal"/>
        <w:spacing w:lineRule="auto" w:line="360"/>
        <w:jc w:val="both"/>
        <w:rPr>
          <w:sz w:val="22"/>
        </w:rPr>
      </w:pPr>
      <w:r>
        <w:rPr>
          <w:sz w:val="22"/>
        </w:rPr>
      </w:r>
    </w:p>
    <w:p>
      <w:pPr>
        <w:pStyle w:val="Normal"/>
        <w:spacing w:lineRule="auto" w:line="360"/>
        <w:jc w:val="both"/>
        <w:rPr>
          <w:b/>
          <w:bCs/>
          <w:sz w:val="22"/>
          <w:u w:val="single"/>
        </w:rPr>
      </w:pPr>
      <w:r>
        <w:rPr>
          <w:b/>
          <w:bCs/>
          <w:sz w:val="22"/>
          <w:u w:val="single"/>
        </w:rPr>
        <w:t>Convertible bonds as Deliverable Obligations – draft Memorandum to Members dated October 11, 2001</w:t>
      </w:r>
    </w:p>
    <w:p>
      <w:pPr>
        <w:pStyle w:val="Normal"/>
        <w:spacing w:lineRule="auto" w:line="360"/>
        <w:jc w:val="both"/>
        <w:rPr>
          <w:b/>
          <w:bCs/>
          <w:sz w:val="22"/>
          <w:u w:val="single"/>
        </w:rPr>
      </w:pPr>
      <w:r>
        <w:rPr>
          <w:b/>
          <w:bCs/>
          <w:sz w:val="22"/>
          <w:u w:val="single"/>
        </w:rPr>
      </w:r>
    </w:p>
    <w:p>
      <w:pPr>
        <w:pStyle w:val="Normal"/>
        <w:spacing w:lineRule="auto" w:line="360"/>
        <w:jc w:val="both"/>
        <w:rPr>
          <w:sz w:val="22"/>
        </w:rPr>
      </w:pPr>
      <w:r>
        <w:rPr>
          <w:sz w:val="22"/>
        </w:rPr>
        <w:t>We are writing in connection with the draft Memorandum to Members dated October 11, 2001 (the “Memorandum”).</w:t>
      </w:r>
    </w:p>
    <w:p>
      <w:pPr>
        <w:pStyle w:val="Normal"/>
        <w:spacing w:lineRule="auto" w:line="360"/>
        <w:jc w:val="both"/>
        <w:rPr>
          <w:sz w:val="22"/>
        </w:rPr>
      </w:pPr>
      <w:r>
        <w:rPr>
          <w:sz w:val="22"/>
        </w:rPr>
      </w:r>
    </w:p>
    <w:p>
      <w:pPr>
        <w:pStyle w:val="Normal"/>
        <w:spacing w:lineRule="auto" w:line="360"/>
        <w:jc w:val="both"/>
        <w:rPr>
          <w:sz w:val="22"/>
        </w:rPr>
      </w:pPr>
      <w:r>
        <w:rPr>
          <w:sz w:val="22"/>
        </w:rPr>
        <w:t>As a Member of ISDA and an active participant in the credit default swap market Enron has concerns regarding the substantive points made in the draft Memorandum and implications these may have for the credit default swap market.</w:t>
      </w:r>
    </w:p>
    <w:p>
      <w:pPr>
        <w:pStyle w:val="Normal"/>
        <w:spacing w:lineRule="auto" w:line="360"/>
        <w:jc w:val="both"/>
        <w:rPr>
          <w:sz w:val="22"/>
        </w:rPr>
      </w:pPr>
      <w:r>
        <w:rPr>
          <w:sz w:val="22"/>
        </w:rPr>
      </w:r>
    </w:p>
    <w:p>
      <w:pPr>
        <w:pStyle w:val="BodyText2"/>
        <w:spacing w:lineRule="auto" w:line="360"/>
        <w:rPr>
          <w:sz w:val="22"/>
        </w:rPr>
      </w:pPr>
      <w:r>
        <w:rPr>
          <w:sz w:val="22"/>
        </w:rPr>
        <w:t xml:space="preserve">The draft Supplement Relating to Convertible, Exchangeable or Accreting Obligations (the “Supplement”) has been drafted to standardize a piecemeal approach that the market has up to now been taking to value, and allow for delivery of, obligations which are not otherwise considered deliverable under a standard credit default swap documented under the Credit Derivative Definitions (the “Definitions”).  It is counter-intuitive to incorporate language in the Supplement explicitly stating that particular convertible bonds shall not be disqualified from being deliverable obligations and then to state that those same obligations are deliverable obligations even if the language in the Supplement were not included in a Transaction.  </w:t>
      </w:r>
    </w:p>
    <w:p>
      <w:pPr>
        <w:pStyle w:val="Normal"/>
        <w:spacing w:lineRule="auto" w:line="360"/>
        <w:jc w:val="both"/>
        <w:rPr>
          <w:sz w:val="22"/>
        </w:rPr>
      </w:pPr>
      <w:r>
        <w:rPr>
          <w:sz w:val="22"/>
        </w:rPr>
      </w:r>
    </w:p>
    <w:p>
      <w:pPr>
        <w:pStyle w:val="Normal"/>
        <w:spacing w:lineRule="auto" w:line="360"/>
        <w:jc w:val="both"/>
        <w:rPr>
          <w:sz w:val="22"/>
        </w:rPr>
      </w:pPr>
      <w:r>
        <w:rPr>
          <w:sz w:val="22"/>
        </w:rPr>
        <w:t>Considering the wording of Section 2.18(b)(vii)(A) itself, this states: ““Not Contingent” means any obligation…which is not subject to any contingency…”.  The language is opaque at best.  However, it is difficult to construe as having the precise meaning the Memorandum propounds, namely that “[an obligation that is] convertible, in whole or in part, into equity securities of the issuer of such obligation solely at the option of holders or a trustee acting for the benefit only of holders” is not to be considered a “contingency”.</w:t>
      </w:r>
    </w:p>
    <w:p>
      <w:pPr>
        <w:pStyle w:val="Normal"/>
        <w:spacing w:lineRule="auto" w:line="360"/>
        <w:jc w:val="both"/>
        <w:rPr>
          <w:sz w:val="22"/>
        </w:rPr>
      </w:pPr>
      <w:r>
        <w:rPr>
          <w:sz w:val="22"/>
        </w:rPr>
      </w:r>
    </w:p>
    <w:p>
      <w:pPr>
        <w:pStyle w:val="Normal"/>
        <w:spacing w:lineRule="auto" w:line="360"/>
        <w:jc w:val="both"/>
        <w:rPr>
          <w:sz w:val="22"/>
        </w:rPr>
      </w:pPr>
      <w:r>
        <w:rPr>
          <w:sz w:val="22"/>
        </w:rPr>
        <w:t xml:space="preserve">The plain reading of “any contingency” in the context of a convertible bond would be that any convertible bond, regardless of conversion rights at the option of the holder, issuer or trustee (automatic or otherwise), is subject to a contingency.  </w:t>
      </w:r>
    </w:p>
    <w:p>
      <w:pPr>
        <w:pStyle w:val="Normal"/>
        <w:spacing w:lineRule="auto" w:line="360"/>
        <w:jc w:val="both"/>
        <w:rPr>
          <w:sz w:val="22"/>
        </w:rPr>
      </w:pPr>
      <w:r>
        <w:rPr>
          <w:sz w:val="22"/>
        </w:rPr>
      </w:r>
    </w:p>
    <w:p>
      <w:pPr>
        <w:pStyle w:val="BodyText3"/>
        <w:rPr/>
      </w:pPr>
      <w:r>
        <w:rPr/>
        <w:t xml:space="preserve">The current market practice for pricing credit default swaps which include “Not Contingent” as a Deliverable Obligation Characteristic, but no other language directly addressing whether or not a convertible obligation can be delivered, is to price such transactions based on a “vanilla bond” </w:t>
      </w:r>
      <w:r>
        <w:rPr>
          <w:i/>
          <w:iCs/>
        </w:rPr>
        <w:t>viz.</w:t>
      </w:r>
      <w:r>
        <w:rPr/>
        <w:t xml:space="preserve"> a bond which (i) has a fixed date for repayment of principal, and (ii) pays a standard coupon.  In contrast, the pricing of a credit default swap which allows for delivery of a convertible bond has a fundamentally different pricing dynamic.  For example, for a credit default swap with a convertible bond as the sole Reference Obligation, and no other deliverable obligations specified, the buyer of the credit default swap would expect to pay an additional ten to fifteen per cent in premium than it would otherwise pay if a vanilla bond was the sole Reference Obligation.  Our experience and view of market practice is that if parties wish to allow convertible obligations (other than a Reference Obligation) to be delivered upon the default of a Reference Entity this contingency needs to be explicitly agreed at the time a transaction is entered into and to be explicitly documented in a confirmation to a transaction.</w:t>
      </w:r>
    </w:p>
    <w:p>
      <w:pPr>
        <w:pStyle w:val="Normal"/>
        <w:spacing w:lineRule="auto" w:line="360"/>
        <w:jc w:val="both"/>
        <w:rPr>
          <w:sz w:val="22"/>
        </w:rPr>
      </w:pPr>
      <w:r>
        <w:rPr>
          <w:sz w:val="22"/>
        </w:rPr>
      </w:r>
    </w:p>
    <w:p>
      <w:pPr>
        <w:pStyle w:val="Normal"/>
        <w:spacing w:lineRule="auto" w:line="360"/>
        <w:jc w:val="both"/>
        <w:rPr>
          <w:sz w:val="22"/>
        </w:rPr>
      </w:pPr>
      <w:r>
        <w:rPr>
          <w:sz w:val="22"/>
        </w:rPr>
        <w:t>We also wish to raise the following points on the text of the draft Memorandum (such text as set out in italic print below).</w:t>
      </w:r>
    </w:p>
    <w:p>
      <w:pPr>
        <w:pStyle w:val="Normal"/>
        <w:spacing w:lineRule="auto" w:line="360"/>
        <w:jc w:val="both"/>
        <w:rPr>
          <w:sz w:val="22"/>
        </w:rPr>
      </w:pPr>
      <w:r>
        <w:rPr>
          <w:sz w:val="22"/>
        </w:rPr>
      </w:r>
    </w:p>
    <w:p>
      <w:pPr>
        <w:pStyle w:val="Normal"/>
        <w:spacing w:lineRule="auto" w:line="360"/>
        <w:ind w:start="360" w:end="0"/>
        <w:jc w:val="both"/>
        <w:rPr/>
      </w:pPr>
      <w:r>
        <w:rPr>
          <w:i/>
          <w:iCs/>
          <w:sz w:val="22"/>
        </w:rPr>
        <w:t>“</w:t>
      </w:r>
      <w:r>
        <w:rPr>
          <w:i/>
          <w:iCs/>
          <w:sz w:val="22"/>
        </w:rPr>
        <w:t xml:space="preserve">ISDA would like to point out that the proposed Supplement recently distributed to the Credit Derivatives Market Practice Committee states that no inference shall be made as to the interpretation of the “Not Contingent” Deliverable Obligation Characteristic for transactions that do not incorporate the Supplement </w:t>
      </w:r>
      <w:r>
        <w:rPr>
          <w:i/>
          <w:iCs/>
          <w:sz w:val="22"/>
          <w:u w:val="single"/>
        </w:rPr>
        <w:t>or that do not otherwise specifically address the issue of whether convertible bonds are deliverable.</w:t>
      </w:r>
      <w:r>
        <w:rPr>
          <w:i/>
          <w:iCs/>
          <w:sz w:val="22"/>
        </w:rPr>
        <w:t xml:space="preserve">”  </w:t>
      </w:r>
    </w:p>
    <w:p>
      <w:pPr>
        <w:pStyle w:val="Normal"/>
        <w:spacing w:lineRule="auto" w:line="360"/>
        <w:ind w:start="360" w:end="0"/>
        <w:jc w:val="both"/>
        <w:rPr>
          <w:i/>
          <w:i/>
          <w:iCs/>
          <w:sz w:val="22"/>
        </w:rPr>
      </w:pPr>
      <w:r>
        <w:rPr>
          <w:i/>
          <w:iCs/>
          <w:sz w:val="22"/>
        </w:rPr>
      </w:r>
    </w:p>
    <w:p>
      <w:pPr>
        <w:pStyle w:val="Normal"/>
        <w:spacing w:lineRule="auto" w:line="360"/>
        <w:jc w:val="both"/>
        <w:rPr/>
      </w:pPr>
      <w:r>
        <w:rPr>
          <w:sz w:val="22"/>
        </w:rPr>
        <w:t>The underlined text, or words to that effect, are not included in the Supplement.  Furthermore, the language that is contained in the Supplement [</w:t>
      </w:r>
      <w:r>
        <w:rPr>
          <w:i/>
          <w:iCs/>
          <w:sz w:val="22"/>
        </w:rPr>
        <w:t>viz.</w:t>
      </w:r>
      <w:r>
        <w:rPr>
          <w:sz w:val="22"/>
        </w:rPr>
        <w:t xml:space="preserve"> “By incorporating this Supplement in a document, no inference shall be made as to the interpretation of the “Not Contingent” Deliverable Obligation Characteristic in any other document in which this Supplement has not been incorporated.”] cannot be construed as solely applying to the interpretation of “Not Contingent” in the context of convertible bonds because the Supplement also addresses deliverability of “Accreting Obligations”.</w:t>
      </w:r>
    </w:p>
    <w:p>
      <w:pPr>
        <w:pStyle w:val="Normal"/>
        <w:spacing w:lineRule="auto" w:line="360"/>
        <w:jc w:val="both"/>
        <w:rPr>
          <w:sz w:val="22"/>
        </w:rPr>
      </w:pPr>
      <w:r>
        <w:rPr>
          <w:sz w:val="22"/>
        </w:rPr>
      </w:r>
    </w:p>
    <w:p>
      <w:pPr>
        <w:pStyle w:val="BodyText"/>
        <w:spacing w:lineRule="auto" w:line="360"/>
        <w:ind w:start="360" w:end="0"/>
        <w:rPr>
          <w:sz w:val="22"/>
        </w:rPr>
      </w:pPr>
      <w:r>
        <w:rPr>
          <w:sz w:val="22"/>
        </w:rPr>
        <w:t>“</w:t>
      </w:r>
      <w:r>
        <w:rPr>
          <w:sz w:val="22"/>
        </w:rPr>
        <w:t>The principal reason for including this statement is to reinforce the position expressed in the final draft User’s Guide to the 1999 ISDA Credit Derivatives Definitions to the effect that bonds convertible at the option of the bondholder (or a trustee for the bondholders) should not be excluded by the “Not Contingent” Deliverable Obligation Characteristic.  Accordingly, ISDA is issuing this Memorandum to Members in order to reiterate the position expressed in the final draft User’s Guide that convertible bonds should be so deliverable unless the parties have agreed otherwise.”</w:t>
      </w:r>
    </w:p>
    <w:p>
      <w:pPr>
        <w:pStyle w:val="BodyText"/>
        <w:spacing w:lineRule="auto" w:line="360"/>
        <w:rPr>
          <w:sz w:val="22"/>
        </w:rPr>
      </w:pPr>
      <w:r>
        <w:rPr>
          <w:sz w:val="22"/>
        </w:rPr>
      </w:r>
    </w:p>
    <w:p>
      <w:pPr>
        <w:pStyle w:val="BodyText3"/>
        <w:rPr>
          <w:szCs w:val="24"/>
        </w:rPr>
      </w:pPr>
      <w:r>
        <w:rPr>
          <w:szCs w:val="24"/>
        </w:rPr>
        <w:t>We consider the approach set out by this text is fundamentally flawed for two reasons.  Firstly, the User’s Guide is merely that: a user’s guide. The nature of the document is that it is not a binding on parties to a credit derivative transaction and as a matter of practice parties do not incorporate this into credit derivative transactions.  Secondly, the function of the User’s Guide should be to explain, to the extent possible, how the Definitions work.  The User’s Guide should not be attempting to deal with or rectify any deficiencies or lack of clarity in the Definitions.  The Definitions should drive the content of the User’s Guide, not vice versa.  On the basis that the User’s Guide is not finalized there should be no issue with removing language therein which is inconsistent with current market practice or accepted interpretation of provisions contained in the Definitions.  Difficulties with interpretation of, or deficiencies in, the Definitions should be dealt with by formal amendment to the Definitions or inclusion of a Supplement as agreed between parties to a Transaction.</w:t>
      </w:r>
    </w:p>
    <w:p>
      <w:pPr>
        <w:pStyle w:val="Normal"/>
        <w:spacing w:lineRule="auto" w:line="360"/>
        <w:jc w:val="both"/>
        <w:rPr>
          <w:sz w:val="22"/>
          <w:szCs w:val="24"/>
        </w:rPr>
      </w:pPr>
      <w:r>
        <w:rPr>
          <w:sz w:val="22"/>
          <w:szCs w:val="24"/>
        </w:rPr>
      </w:r>
    </w:p>
    <w:p>
      <w:pPr>
        <w:pStyle w:val="Normal"/>
        <w:spacing w:lineRule="auto" w:line="360"/>
        <w:jc w:val="both"/>
        <w:rPr>
          <w:sz w:val="22"/>
        </w:rPr>
      </w:pPr>
      <w:r>
        <w:rPr>
          <w:sz w:val="22"/>
        </w:rPr>
        <w:t>In conclusion, it is clear that the credit default swap market needs certainty and stability in order to continue to function successfully.  Any intervention by ISDA should be to promote certainty and stability not to add confusion and inconsistencies to which the draft Memorandum would clearly lead to if formally promulgated.</w:t>
      </w:r>
    </w:p>
    <w:p>
      <w:pPr>
        <w:pStyle w:val="Normal"/>
        <w:spacing w:lineRule="auto" w:line="360"/>
        <w:jc w:val="both"/>
        <w:rPr>
          <w:sz w:val="22"/>
        </w:rPr>
      </w:pPr>
      <w:r>
        <w:rPr>
          <w:sz w:val="22"/>
        </w:rPr>
      </w:r>
    </w:p>
    <w:p>
      <w:pPr>
        <w:pStyle w:val="Normal"/>
        <w:spacing w:lineRule="auto" w:line="360"/>
        <w:jc w:val="both"/>
        <w:rPr>
          <w:sz w:val="22"/>
        </w:rPr>
      </w:pPr>
      <w:r>
        <w:rPr>
          <w:sz w:val="22"/>
        </w:rPr>
        <w:t>Yours faithfully,</w:t>
      </w:r>
    </w:p>
    <w:p>
      <w:pPr>
        <w:pStyle w:val="Normal"/>
        <w:spacing w:lineRule="auto" w:line="360"/>
        <w:jc w:val="both"/>
        <w:rPr>
          <w:sz w:val="22"/>
        </w:rPr>
      </w:pPr>
      <w:r>
        <w:rPr>
          <w:sz w:val="22"/>
        </w:rPr>
      </w:r>
    </w:p>
    <w:p>
      <w:pPr>
        <w:pStyle w:val="Normal"/>
        <w:spacing w:lineRule="auto" w:line="360"/>
        <w:jc w:val="both"/>
        <w:rPr>
          <w:sz w:val="22"/>
        </w:rPr>
      </w:pPr>
      <w:r>
        <w:rPr>
          <w:sz w:val="22"/>
        </w:rPr>
      </w:r>
    </w:p>
    <w:p>
      <w:pPr>
        <w:pStyle w:val="Normal"/>
        <w:spacing w:lineRule="auto" w:line="360"/>
        <w:jc w:val="both"/>
        <w:rPr>
          <w:sz w:val="22"/>
        </w:rPr>
      </w:pPr>
      <w:r>
        <w:rPr>
          <w:sz w:val="22"/>
        </w:rPr>
        <w:t>_______________</w:t>
      </w:r>
    </w:p>
    <w:p>
      <w:pPr>
        <w:pStyle w:val="Normal"/>
        <w:spacing w:lineRule="auto" w:line="360"/>
        <w:jc w:val="both"/>
        <w:rPr>
          <w:sz w:val="22"/>
        </w:rPr>
      </w:pPr>
      <w:r>
        <w:rPr>
          <w:sz w:val="22"/>
        </w:rPr>
        <w:t xml:space="preserve">For </w:t>
      </w:r>
      <w:r>
        <w:rPr>
          <w:b/>
          <w:bCs/>
          <w:sz w:val="22"/>
        </w:rPr>
        <w:t>Enron Credit Limited</w:t>
      </w:r>
    </w:p>
    <w:p>
      <w:pPr>
        <w:pStyle w:val="Normal"/>
        <w:spacing w:lineRule="auto" w:line="360"/>
        <w:jc w:val="both"/>
        <w:rPr>
          <w:sz w:val="22"/>
          <w:lang w:val="en-GB"/>
        </w:rPr>
      </w:pPr>
      <w:r>
        <w:rPr>
          <w:sz w:val="22"/>
          <w:lang w:val="en-GB"/>
        </w:rPr>
      </w:r>
    </w:p>
    <w:p>
      <w:pPr>
        <w:pStyle w:val="Normal"/>
        <w:jc w:val="end"/>
        <w:rPr>
          <w:sz w:val="20"/>
          <w:lang w:val="en-GB"/>
        </w:rPr>
      </w:pPr>
      <w:r>
        <w:rPr>
          <w:sz w:val="20"/>
          <w:lang w:val="en-GB"/>
        </w:rPr>
      </w:r>
    </w:p>
    <w:p>
      <w:pPr>
        <w:pStyle w:val="Normal"/>
        <w:rPr>
          <w:sz w:val="20"/>
          <w:lang w:val="en-GB"/>
        </w:rPr>
      </w:pPr>
      <w:r>
        <w:rPr>
          <w:sz w:val="20"/>
          <w:lang w:val="en-GB"/>
        </w:rPr>
      </w:r>
    </w:p>
    <w:sectPr>
      <w:footerReference w:type="default" r:id="rId2"/>
      <w:type w:val="nextPage"/>
      <w:pgSz w:w="11906" w:h="16838"/>
      <w:pgMar w:left="1800" w:right="1800" w:gutter="0" w:header="0" w:top="1080" w:footer="274"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6"/>
        <w:lang w:val="en-GB"/>
      </w:rPr>
    </w:pPr>
    <w:r>
      <w:rPr>
        <w:i/>
        <w:iCs/>
        <w:sz w:val="16"/>
        <w:lang w:val="en-GB"/>
      </w:rPr>
      <w:t>Registered in England, Reg. No. 2986758</w:t>
    </w:r>
  </w:p>
  <w:p>
    <w:pPr>
      <w:pStyle w:val="Footer"/>
      <w:jc w:val="center"/>
      <w:rPr>
        <w:i/>
        <w:i/>
        <w:iCs/>
        <w:sz w:val="16"/>
        <w:lang w:val="en-GB"/>
      </w:rPr>
    </w:pPr>
    <w:r>
      <w:rPr>
        <w:i/>
        <w:iCs/>
        <w:sz w:val="16"/>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lang w:val="en-GB"/>
    </w:rPr>
  </w:style>
  <w:style w:type="paragraph" w:styleId="Heading2">
    <w:name w:val="heading 2"/>
    <w:basedOn w:val="Normal"/>
    <w:next w:val="Normal"/>
    <w:qFormat/>
    <w:pPr>
      <w:keepNext w:val="true"/>
      <w:numPr>
        <w:ilvl w:val="1"/>
        <w:numId w:val="1"/>
      </w:numPr>
      <w:outlineLvl w:val="1"/>
    </w:pPr>
    <w:rPr>
      <w:i/>
      <w:sz w:val="20"/>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i/>
      <w:i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0" w:leader="none"/>
        <w:tab w:val="right" w:pos="1440" w:leader="none"/>
        <w:tab w:val="left" w:pos="3060" w:leader="none"/>
        <w:tab w:val="left" w:pos="5580" w:leader="none"/>
      </w:tabs>
      <w:ind w:hanging="0" w:start="900" w:end="0"/>
    </w:pPr>
    <w:rPr>
      <w:sz w:val="20"/>
      <w:lang w:val="en-GB"/>
    </w:rPr>
  </w:style>
  <w:style w:type="paragraph" w:styleId="BodyText2">
    <w:name w:val="Body Text 2"/>
    <w:basedOn w:val="Normal"/>
    <w:qFormat/>
    <w:pPr>
      <w:jc w:val="both"/>
    </w:pPr>
    <w:rPr>
      <w:szCs w:val="20"/>
    </w:rPr>
  </w:style>
  <w:style w:type="paragraph" w:styleId="BodyText3">
    <w:name w:val="Body Text 3"/>
    <w:basedOn w:val="Normal"/>
    <w:qFormat/>
    <w:pPr>
      <w:spacing w:lineRule="auto" w:line="360"/>
      <w:jc w:val="both"/>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2001-10-15T14:17:00Z</dcterms:created>
  <dc:creator>hgarratt</dc:creator>
  <dc:description/>
  <dc:language>en-CA</dc:language>
  <cp:lastModifiedBy>Edmund Cooper</cp:lastModifiedBy>
  <cp:lastPrinted>2001-10-15T17:04:00Z</cp:lastPrinted>
  <dcterms:modified xsi:type="dcterms:W3CDTF">2001-10-15T16:54:00Z</dcterms:modified>
  <cp:revision>5</cp:revision>
  <dc:subject/>
  <dc:title>Enron Power </dc:title>
</cp:coreProperties>
</file>