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u w:val="single"/>
        </w:rPr>
      </w:pPr>
      <w:r>
        <w:rPr>
          <w:rFonts w:cs="Arial" w:ascii="Arial" w:hAnsi="Arial"/>
          <w:b/>
          <w:sz w:val="24"/>
          <w:u w:val="single"/>
        </w:rPr>
        <w:t>DRAFT CONTRACT CHANGES</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t>JULY 24, 2000</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following are draft contract changes:</w:t>
      </w:r>
    </w:p>
    <w:p>
      <w:pPr>
        <w:pStyle w:val="BodyText"/>
        <w:rPr>
          <w:rFonts w:ascii="Arial" w:hAnsi="Arial" w:cs="Arial"/>
          <w:sz w:val="24"/>
        </w:rPr>
      </w:pPr>
      <w:r>
        <w:rPr>
          <w:rFonts w:cs="Arial" w:ascii="Arial" w:hAnsi="Arial"/>
          <w:sz w:val="24"/>
        </w:rPr>
      </w:r>
    </w:p>
    <w:p>
      <w:pPr>
        <w:pStyle w:val="BodyText"/>
        <w:ind w:firstLine="720" w:end="0"/>
        <w:rPr/>
      </w:pPr>
      <w:r>
        <w:rPr/>
        <w:t>“</w:t>
      </w:r>
      <w:r>
        <w:rPr>
          <w:rFonts w:cs="Arial" w:ascii="Arial" w:hAnsi="Arial"/>
          <w:sz w:val="24"/>
          <w:u w:val="single"/>
        </w:rPr>
        <w:t>Capacity</w:t>
      </w:r>
      <w:r>
        <w:rPr>
          <w:rFonts w:cs="Arial" w:ascii="Arial" w:hAnsi="Arial"/>
          <w:sz w:val="24"/>
        </w:rPr>
        <w:t>” means the power output capability of the Facility, expressed in KW as a function of temperature and relative humidity, as set forth in Appendix B; provided, however, that if the power output capability of the Facility that is declared by Seller on the Commencement Date, expressed in KW at 75°F and 60% relative humidity, is less than 97.5% of ???? KW, Seller shall provide a revised Appendix B to Purchaser and the power output capability set forth in such revised Appendix B shall be the Dependable Capacity.</w:t>
      </w:r>
    </w:p>
    <w:p>
      <w:pPr>
        <w:pStyle w:val="Heading2"/>
        <w:widowControl/>
        <w:rPr>
          <w:rFonts w:ascii="Arial" w:hAnsi="Arial" w:cs="Arial"/>
          <w:vanish/>
          <w:color w:val="FF0000"/>
        </w:rPr>
      </w:pPr>
      <w:r>
        <w:rPr>
          <w:rFonts w:cs="Arial" w:ascii="Arial" w:hAnsi="Arial"/>
        </w:rPr>
        <w:t>Section 4.6</w:t>
        <w:tab/>
      </w:r>
      <w:r>
        <w:rPr>
          <w:rFonts w:cs="Arial" w:ascii="Arial" w:hAnsi="Arial"/>
          <w:u w:val="single"/>
        </w:rPr>
        <w:t>Liquidated Damages for Non-Performance (Substitute for entire section)</w:t>
      </w:r>
      <w:r>
        <w:rPr>
          <w:rFonts w:cs="Arial" w:ascii="Arial" w:hAnsi="Arial"/>
        </w:rPr>
        <w:t xml:space="preserve">.  </w:t>
      </w:r>
    </w:p>
    <w:p>
      <w:pPr>
        <w:pStyle w:val="BodyText"/>
        <w:rPr>
          <w:rFonts w:ascii="Arial" w:hAnsi="Arial" w:cs="Arial"/>
          <w:sz w:val="24"/>
        </w:rPr>
      </w:pPr>
      <w:r>
        <w:rPr>
          <w:rFonts w:cs="Arial" w:ascii="Arial" w:hAnsi="Arial"/>
          <w:sz w:val="24"/>
        </w:rPr>
        <w:t>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deliver Energy as Scheduled.</w:t>
      </w:r>
    </w:p>
    <w:p>
      <w:pPr>
        <w:pStyle w:val="Heading3"/>
        <w:widowControl/>
        <w:tabs>
          <w:tab w:val="clear" w:pos="1800"/>
        </w:tabs>
        <w:rPr>
          <w:rFonts w:ascii="Arial" w:hAnsi="Arial" w:cs="Arial"/>
        </w:rPr>
      </w:pPr>
      <w:r>
        <w:rPr>
          <w:rFonts w:eastAsia="Arial" w:cs="Arial" w:ascii="Arial" w:hAnsi="Arial"/>
        </w:rPr>
        <w:t xml:space="preserve"> </w:t>
      </w:r>
      <w:r>
        <w:rPr>
          <w:rFonts w:cs="Arial" w:ascii="Arial" w:hAnsi="Arial"/>
        </w:rPr>
        <w:t>(a)</w:t>
        <w:tab/>
        <w:t>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p>
    <w:p>
      <w:pPr>
        <w:pStyle w:val="Heading3"/>
        <w:widowControl/>
        <w:tabs>
          <w:tab w:val="clear" w:pos="1800"/>
        </w:tabs>
        <w:rPr>
          <w:rFonts w:ascii="Arial" w:hAnsi="Arial" w:cs="Arial"/>
        </w:rPr>
      </w:pPr>
      <w:r>
        <w:rPr>
          <w:rFonts w:cs="Arial" w:ascii="Arial" w:hAnsi="Arial"/>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widowControl/>
        <w:tabs>
          <w:tab w:val="clear" w:pos="1800"/>
        </w:tabs>
        <w:rPr>
          <w:rFonts w:ascii="Arial" w:hAnsi="Arial" w:cs="Arial"/>
        </w:rPr>
      </w:pPr>
      <w:r>
        <w:rPr>
          <w:rFonts w:cs="Arial" w:ascii="Arial" w:hAnsi="Arial"/>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widowControl/>
        <w:tabs>
          <w:tab w:val="clear" w:pos="1800"/>
        </w:tabs>
        <w:rPr>
          <w:rFonts w:ascii="Arial" w:hAnsi="Arial" w:cs="Arial"/>
          <w:b/>
        </w:rPr>
      </w:pPr>
      <w:r>
        <w:rPr>
          <w:rFonts w:cs="Arial" w:ascii="Arial" w:hAnsi="Arial"/>
        </w:rPr>
        <w:t>(d)</w:t>
        <w:tab/>
        <w:t>If, during the Year, Seller Delivers a number of KWh that equates to a Forced Outage Rate greater than 20.0%, then Seller shall pay Buyer liquidated damages equal to 100% of the Demand Charges payable during the Year.</w:t>
      </w:r>
    </w:p>
    <w:p>
      <w:pPr>
        <w:pStyle w:val="Heading3"/>
        <w:widowControl/>
        <w:tabs>
          <w:tab w:val="clear" w:pos="1800"/>
        </w:tabs>
        <w:rPr/>
      </w:pPr>
      <w:r>
        <w:rPr>
          <w:rFonts w:cs="Arial" w:ascii="Arial" w:hAnsi="Arial"/>
        </w:rPr>
        <w:t>(e)</w:t>
        <w:tab/>
        <w:t xml:space="preserve">For purposes of this Section 4.6, the Forced Outage Rate (“FOR”) for the Year (expressed as a percentage to one decimal place) shall be equal to the average of the FOR calculations for each one-half hour </w:t>
      </w:r>
      <w:r>
        <w:rPr>
          <w:rFonts w:cs="Arial" w:ascii="Arial" w:hAnsi="Arial"/>
          <w:b/>
        </w:rPr>
        <w:t xml:space="preserve">[or whatever unit of measure is used for market supplied energy] </w:t>
      </w:r>
      <w:r>
        <w:rPr>
          <w:rFonts w:cs="Arial" w:ascii="Arial" w:hAnsi="Arial"/>
        </w:rPr>
        <w:t xml:space="preserve">as further developed in the Operating Procedures: </w:t>
      </w:r>
    </w:p>
    <w:p>
      <w:pPr>
        <w:pStyle w:val="BodyText"/>
        <w:jc w:val="center"/>
        <w:rPr>
          <w:rFonts w:ascii="Arial" w:hAnsi="Arial" w:cs="Arial"/>
          <w:sz w:val="24"/>
          <w:u w:val="single"/>
        </w:rPr>
      </w:pPr>
      <w:r>
        <w:rPr>
          <w:rFonts w:cs="Arial" w:ascii="Arial" w:hAnsi="Arial"/>
          <w:sz w:val="24"/>
        </w:rPr>
        <w:t xml:space="preserve">FOR  =  [1 – {( A + B ) / ( C )}] </w:t>
      </w:r>
    </w:p>
    <w:p>
      <w:pPr>
        <w:pStyle w:val="BodyText"/>
        <w:ind w:hanging="1440" w:start="2160" w:end="0"/>
        <w:rPr>
          <w:rFonts w:ascii="Arial" w:hAnsi="Arial" w:cs="Arial"/>
          <w:sz w:val="24"/>
        </w:rPr>
      </w:pPr>
      <w:r>
        <w:rPr>
          <w:rFonts w:cs="Arial" w:ascii="Arial" w:hAnsi="Arial"/>
          <w:sz w:val="24"/>
        </w:rPr>
        <w:t>Where:</w:t>
      </w:r>
    </w:p>
    <w:p>
      <w:pPr>
        <w:pStyle w:val="BodyText"/>
        <w:spacing w:before="0" w:after="0"/>
        <w:ind w:hanging="720" w:start="2160" w:end="0"/>
        <w:rPr>
          <w:rFonts w:ascii="Arial" w:hAnsi="Arial" w:cs="Arial"/>
          <w:sz w:val="24"/>
        </w:rPr>
      </w:pPr>
      <w:r>
        <w:rPr>
          <w:rFonts w:cs="Arial" w:ascii="Arial" w:hAnsi="Arial"/>
          <w:sz w:val="24"/>
        </w:rPr>
        <w:t>A</w:t>
        <w:tab/>
        <w:t>=</w:t>
        <w:tab/>
        <w:t xml:space="preserve">Energy Delivered to a Delivery Point from a market source.  </w:t>
      </w:r>
    </w:p>
    <w:p>
      <w:pPr>
        <w:pStyle w:val="BodyText"/>
        <w:spacing w:before="0" w:after="0"/>
        <w:ind w:hanging="720" w:start="2160" w:end="0"/>
        <w:rPr>
          <w:rFonts w:ascii="Arial" w:hAnsi="Arial" w:cs="Arial"/>
          <w:b/>
          <w:sz w:val="24"/>
        </w:rPr>
      </w:pPr>
      <w:r>
        <w:rPr>
          <w:rFonts w:cs="Arial" w:ascii="Arial" w:hAnsi="Arial"/>
          <w:b/>
          <w:sz w:val="24"/>
        </w:rPr>
      </w:r>
    </w:p>
    <w:p>
      <w:pPr>
        <w:pStyle w:val="BodyText"/>
        <w:ind w:hanging="720" w:start="2160" w:end="0"/>
        <w:rPr>
          <w:rFonts w:ascii="Arial" w:hAnsi="Arial" w:cs="Arial"/>
          <w:b/>
          <w:sz w:val="24"/>
        </w:rPr>
      </w:pPr>
      <w:r>
        <w:rPr>
          <w:rFonts w:cs="Arial" w:ascii="Arial" w:hAnsi="Arial"/>
          <w:sz w:val="24"/>
        </w:rPr>
        <w:t>B</w:t>
        <w:tab/>
        <w:t>=</w:t>
        <w:tab/>
        <w:t xml:space="preserve">Energy Delivered from the Facility. </w:t>
      </w:r>
    </w:p>
    <w:p>
      <w:pPr>
        <w:pStyle w:val="BodyText"/>
        <w:ind w:hanging="720" w:start="2160" w:end="0"/>
        <w:rPr>
          <w:rFonts w:ascii="Arial" w:hAnsi="Arial" w:cs="Arial"/>
          <w:sz w:val="24"/>
        </w:rPr>
      </w:pPr>
      <w:r>
        <w:rPr>
          <w:rFonts w:cs="Arial" w:ascii="Arial" w:hAnsi="Arial"/>
          <w:sz w:val="24"/>
        </w:rPr>
        <w:t>C</w:t>
        <w:tab/>
        <w:t>=</w:t>
        <w:tab/>
        <w:t xml:space="preserve">Energy Scheduled; </w:t>
      </w:r>
    </w:p>
    <w:p>
      <w:pPr>
        <w:pStyle w:val="BodyText"/>
        <w:rPr>
          <w:rFonts w:ascii="Arial" w:hAnsi="Arial" w:cs="Arial"/>
          <w:sz w:val="24"/>
        </w:rPr>
      </w:pPr>
      <w:r>
        <w:rPr>
          <w:rFonts w:cs="Arial" w:ascii="Arial" w:hAnsi="Arial"/>
          <w:sz w:val="24"/>
        </w:rPr>
        <w:t xml:space="preserve">provided, however, if the FOR for the Year would otherwise equal a negative number, the FOR shall be deemed to equal 0%.  </w:t>
      </w:r>
    </w:p>
    <w:p>
      <w:pPr>
        <w:pStyle w:val="Heading3"/>
        <w:widowControl/>
        <w:tabs>
          <w:tab w:val="clear" w:pos="1800"/>
        </w:tabs>
        <w:rPr>
          <w:rFonts w:ascii="Arial" w:hAnsi="Arial" w:cs="Arial"/>
          <w:b/>
        </w:rPr>
      </w:pPr>
      <w:r>
        <w:rPr>
          <w:rFonts w:cs="Arial" w:ascii="Arial" w:hAnsi="Arial"/>
        </w:rPr>
        <w:t>(f)</w:t>
        <w:tab/>
        <w:t xml:space="preserve">For the purpose of determining the FOR for a Year, it shall be deemed that Buyer Scheduled Energy at the Capacity level for at least 700 hours during the year even if actual Energy Scheduled was less. </w:t>
      </w:r>
    </w:p>
    <w:p>
      <w:pPr>
        <w:pStyle w:val="Heading2"/>
        <w:widowControl/>
        <w:rPr>
          <w:rFonts w:ascii="Arial" w:hAnsi="Arial" w:cs="Arial"/>
          <w:vanish/>
          <w:color w:val="FF0000"/>
        </w:rPr>
      </w:pPr>
      <w:r>
        <w:rPr>
          <w:rFonts w:cs="Arial" w:ascii="Arial" w:hAnsi="Arial"/>
        </w:rPr>
        <w:t>Section 4.7</w:t>
        <w:tab/>
      </w:r>
      <w:r>
        <w:rPr>
          <w:rFonts w:cs="Arial" w:ascii="Arial" w:hAnsi="Arial"/>
          <w:u w:val="single"/>
        </w:rPr>
        <w:t>Payment of Liquidated Damages</w:t>
      </w:r>
      <w:r>
        <w:rPr>
          <w:rFonts w:cs="Arial" w:ascii="Arial" w:hAnsi="Arial"/>
        </w:rPr>
        <w:t xml:space="preserve">.  </w:t>
      </w:r>
    </w:p>
    <w:p>
      <w:pPr>
        <w:pStyle w:val="BodyText"/>
        <w:rPr>
          <w:rFonts w:ascii="Arial" w:hAnsi="Arial" w:cs="Arial"/>
          <w:sz w:val="24"/>
        </w:rPr>
      </w:pPr>
      <w:r>
        <w:rPr>
          <w:rFonts w:cs="Arial" w:ascii="Arial" w:hAnsi="Arial"/>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Normal"/>
        <w:ind w:firstLine="720" w:end="0"/>
        <w:rPr>
          <w:rFonts w:ascii="Arial" w:hAnsi="Arial" w:cs="Arial"/>
          <w:sz w:val="24"/>
        </w:rPr>
      </w:pPr>
      <w:r>
        <w:rPr>
          <w:rFonts w:cs="Arial" w:ascii="Arial" w:hAnsi="Arial"/>
          <w:sz w:val="24"/>
        </w:rPr>
        <w:t>Section 5.1(b)  The Delivery Point for Energy not generated by the Facility shall be at an established transmission interface within Virginia Power's control area transmission system.  Seller shall, within one hour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Such firm transmission service must be available prior to notification to Buyer, and must be available for one hour after notification to allow Buyer to schedule energy delivery into the Virginia Power system. Seller is not released from its obligation to deliver Scheduled Energy to Buyer if Buyer is unable to obtain firm transmission service on Virginia Power's control area. Under circumstances where firm transmission is not available to Buyer, delivery shall be from the Facility.</w:t>
      </w:r>
    </w:p>
    <w:p>
      <w:pPr>
        <w:pStyle w:val="BodyText"/>
        <w:ind w:firstLine="720" w:end="0"/>
        <w:rPr>
          <w:rFonts w:ascii="Arial" w:hAnsi="Arial" w:cs="Arial"/>
          <w:sz w:val="24"/>
        </w:rPr>
      </w:pPr>
      <w:r>
        <w:rPr>
          <w:rFonts w:cs="Arial" w:ascii="Arial" w:hAnsi="Arial"/>
          <w:sz w:val="24"/>
        </w:rPr>
      </w:r>
    </w:p>
    <w:p>
      <w:pPr>
        <w:pStyle w:val="BodyText"/>
        <w:ind w:firstLine="720" w:end="0"/>
        <w:rPr>
          <w:rFonts w:ascii="Arial" w:hAnsi="Arial" w:cs="Arial"/>
          <w:sz w:val="24"/>
        </w:rPr>
      </w:pPr>
      <w:r>
        <w:rPr>
          <w:rFonts w:cs="Arial" w:ascii="Arial" w:hAnsi="Arial"/>
          <w:sz w:val="24"/>
        </w:rPr>
      </w:r>
    </w:p>
    <w:p>
      <w:pPr>
        <w:pStyle w:val="BodyText"/>
        <w:spacing w:before="0" w:after="120"/>
        <w:ind w:firstLine="720" w:end="0"/>
        <w:rPr/>
      </w:pPr>
      <w:r>
        <w:rPr>
          <w:rFonts w:cs="Arial" w:ascii="Arial" w:hAnsi="Arial"/>
          <w:sz w:val="24"/>
        </w:rPr>
        <w:t>Section</w:t>
      </w:r>
      <w:r>
        <w:rPr>
          <w:rFonts w:cs="Arial" w:ascii="Arial" w:hAnsi="Arial"/>
          <w:caps/>
        </w:rPr>
        <w:t xml:space="preserve"> 8.1 </w:t>
      </w:r>
      <w:r>
        <w:rPr>
          <w:rFonts w:cs="Arial" w:ascii="Arial" w:hAnsi="Arial"/>
          <w:sz w:val="24"/>
          <w:u w:val="single"/>
        </w:rPr>
        <w:t>Billing and Payment (Substitute for 1</w:t>
      </w:r>
      <w:r>
        <w:rPr>
          <w:rFonts w:cs="Arial" w:ascii="Arial" w:hAnsi="Arial"/>
          <w:sz w:val="24"/>
          <w:u w:val="single"/>
          <w:vertAlign w:val="superscript"/>
        </w:rPr>
        <w:t>st</w:t>
      </w:r>
      <w:r>
        <w:rPr>
          <w:rFonts w:cs="Arial" w:ascii="Arial" w:hAnsi="Arial"/>
          <w:sz w:val="24"/>
          <w:u w:val="single"/>
        </w:rPr>
        <w:t xml:space="preserve"> Paragraph)</w:t>
      </w:r>
      <w:r>
        <w:rPr>
          <w:rFonts w:cs="Arial" w:ascii="Arial" w:hAnsi="Arial"/>
          <w:sz w:val="24"/>
        </w:rPr>
        <w:t xml:space="preserve">  Within fifteen (15) Business Days after each Month, Seller shall provide to Buyer a detailed written statement of the amounts owed by Buyer pursuant to Article 4.  Buyer shall make payments for such amounts owed by wire transfer on or before the third (3rd) Business Day of the Month following the Month in which Buyer receives Seller's invoice to an account designated by the Seller</w:t>
      </w:r>
      <w:r>
        <w:rPr>
          <w:rFonts w:cs="Arial" w:ascii="Arial" w:hAnsi="Arial"/>
          <w:b/>
          <w:caps/>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widowControl w:val="false"/>
      <w:numPr>
        <w:ilvl w:val="0"/>
        <w:numId w:val="1"/>
      </w:numPr>
      <w:spacing w:before="0" w:after="240"/>
      <w:jc w:val="center"/>
      <w:outlineLvl w:val="0"/>
    </w:pPr>
    <w:rPr>
      <w:rFonts w:ascii="Times New Roman Bold;Times New Roman" w:hAnsi="Times New Roman Bold;Times New Roman" w:cs="Times New Roman Bold;Times New Roman"/>
      <w:b/>
      <w:caps/>
      <w:color w:val="000000"/>
      <w:sz w:val="24"/>
      <w:lang w:eastAsia="en-U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720" w:start="0" w:end="0"/>
      <w:jc w:val="both"/>
      <w:outlineLvl w:val="1"/>
    </w:pPr>
    <w:rPr>
      <w:color w:val="000000"/>
      <w:sz w:val="24"/>
      <w:lang w:eastAsia="en-US"/>
    </w:rPr>
  </w:style>
  <w:style w:type="paragraph" w:styleId="Heading3">
    <w:name w:val="heading 3"/>
    <w:basedOn w:val="Normal"/>
    <w:next w:val="BodyText"/>
    <w:qFormat/>
    <w:pPr>
      <w:widowControl w:val="false"/>
      <w:numPr>
        <w:ilvl w:val="2"/>
        <w:numId w:val="1"/>
      </w:numPr>
      <w:tabs>
        <w:tab w:val="clear" w:pos="720"/>
        <w:tab w:val="left" w:pos="1800" w:leader="none"/>
      </w:tabs>
      <w:spacing w:before="0" w:after="240"/>
      <w:ind w:firstLine="1440" w:start="0" w:end="0"/>
      <w:jc w:val="both"/>
      <w:outlineLvl w:val="2"/>
    </w:pPr>
    <w:rPr>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2000-07-25T08:43:00Z</dcterms:created>
  <dc:creator>Corporate Center</dc:creator>
  <dc:description/>
  <dc:language>en-CA</dc:language>
  <cp:lastModifiedBy>Corporate Center</cp:lastModifiedBy>
  <cp:lastPrinted>2000-07-25T14:36:00Z</cp:lastPrinted>
  <dcterms:modified xsi:type="dcterms:W3CDTF">2000-07-25T16:52:00Z</dcterms:modified>
  <cp:revision>21</cp:revision>
  <dc:subject/>
  <dc:title>DRAFT CONTRACT CHANGES</dc:title>
</cp:coreProperties>
</file>