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720" w:leader="none"/>
        </w:tabs>
        <w:rPr>
          <w:sz w:val="22"/>
        </w:rPr>
      </w:pPr>
      <w:r>
        <w:rPr>
          <w:sz w:val="22"/>
        </w:rPr>
      </w:r>
    </w:p>
    <w:p>
      <w:pPr>
        <w:pStyle w:val="Normal"/>
        <w:rPr/>
      </w:pPr>
      <w:r>
        <w:rPr/>
        <w:tab/>
        <w:tab/>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fldChar w:fldCharType="begin"/>
            </w:r>
            <w:r>
              <w:rPr>
                <w:sz w:val="22"/>
                <w:b/>
              </w:rPr>
              <w:instrText xml:space="preserve"> MERGEFIELD EnronEntityName </w:instrText>
            </w:r>
            <w:r>
              <w:rPr>
                <w:sz w:val="22"/>
                <w:b/>
              </w:rPr>
              <w:fldChar w:fldCharType="separate"/>
            </w:r>
            <w:r>
              <w:rPr>
                <w:sz w:val="22"/>
                <w:b/>
              </w:rPr>
              <w:t>Enron Freight Markets.</w:t>
            </w:r>
            <w:r>
              <w:rPr>
                <w:sz w:val="22"/>
                <w:b/>
              </w:rPr>
              <w:fldChar w:fldCharType="end"/>
            </w:r>
          </w:p>
          <w:p>
            <w:pPr>
              <w:pStyle w:val="Normal"/>
              <w:tabs>
                <w:tab w:val="clear" w:pos="720"/>
                <w:tab w:val="left" w:pos="2412" w:leader="none"/>
              </w:tabs>
              <w:ind w:start="1962" w:end="0"/>
              <w:rPr/>
            </w:pPr>
            <w:r>
              <w:rPr>
                <w:i/>
                <w:sz w:val="22"/>
              </w:rPr>
              <w:fldChar w:fldCharType="begin"/>
            </w:r>
            <w:r>
              <w:rPr>
                <w:sz w:val="22"/>
                <w:i/>
              </w:rPr>
              <w:instrText xml:space="preserve"> MERGEFIELD EnronLogoAddr1 </w:instrText>
            </w:r>
            <w:r>
              <w:rPr>
                <w:sz w:val="22"/>
                <w:i/>
              </w:rPr>
              <w:fldChar w:fldCharType="separate"/>
            </w:r>
            <w:r>
              <w:rPr>
                <w:sz w:val="22"/>
                <w:i/>
              </w:rPr>
              <w:t xml:space="preserve">P.O. Box </w:t>
            </w:r>
            <w:r>
              <w:rPr>
                <w:sz w:val="22"/>
                <w:i/>
              </w:rPr>
              <w:fldChar w:fldCharType="end"/>
            </w:r>
            <w:r>
              <w:rPr>
                <w:i/>
                <w:sz w:val="22"/>
              </w:rPr>
              <w:t>XXXX</w:t>
            </w:r>
          </w:p>
          <w:p>
            <w:pPr>
              <w:pStyle w:val="Normal"/>
              <w:tabs>
                <w:tab w:val="clear" w:pos="720"/>
                <w:tab w:val="left" w:pos="2412" w:leader="none"/>
              </w:tabs>
              <w:ind w:start="1962" w:end="0"/>
              <w:rPr/>
            </w:pPr>
            <w:r>
              <w:rPr>
                <w:i/>
                <w:sz w:val="22"/>
              </w:rPr>
              <w:fldChar w:fldCharType="begin"/>
            </w:r>
            <w:r>
              <w:rPr>
                <w:sz w:val="22"/>
                <w:i/>
              </w:rPr>
              <w:instrText xml:space="preserve"> MERGEFIELD EnronLogoAddr2 </w:instrText>
            </w:r>
            <w:r>
              <w:rPr>
                <w:sz w:val="22"/>
                <w:i/>
              </w:rPr>
              <w:fldChar w:fldCharType="separate"/>
            </w:r>
            <w:r>
              <w:rPr>
                <w:sz w:val="22"/>
                <w:i/>
              </w:rPr>
              <w:t>Houston TX  77210-</w:t>
            </w:r>
            <w:r>
              <w:rPr>
                <w:sz w:val="22"/>
                <w:i/>
              </w:rPr>
              <w:fldChar w:fldCharType="end"/>
            </w:r>
            <w:r>
              <w:rPr>
                <w:i/>
                <w:sz w:val="22"/>
              </w:rPr>
              <w:t>XXXX</w:t>
            </w:r>
          </w:p>
          <w:p>
            <w:pPr>
              <w:pStyle w:val="Normal"/>
              <w:tabs>
                <w:tab w:val="clear" w:pos="720"/>
                <w:tab w:val="left" w:pos="2412" w:leader="none"/>
              </w:tabs>
              <w:ind w:start="1962" w:end="0"/>
              <w:rPr/>
            </w:pPr>
            <w:r>
              <w:rPr>
                <w:i/>
                <w:sz w:val="22"/>
              </w:rPr>
              <w:fldChar w:fldCharType="begin"/>
            </w:r>
            <w:r>
              <w:rPr>
                <w:sz w:val="22"/>
                <w:i/>
              </w:rPr>
              <w:instrText xml:space="preserve"> MERGEFIELD EnronLogoAddr3 </w:instrText>
            </w:r>
            <w:r>
              <w:rPr>
                <w:sz w:val="22"/>
                <w:i/>
              </w:rPr>
              <w:fldChar w:fldCharType="separate"/>
            </w:r>
            <w:r>
              <w:rPr>
                <w:sz w:val="22"/>
                <w:i/>
              </w:rPr>
              <w:t>(713) 853-</w:t>
            </w:r>
            <w:r>
              <w:rPr>
                <w:sz w:val="22"/>
                <w:i/>
              </w:rPr>
              <w:fldChar w:fldCharType="end"/>
            </w:r>
            <w:r>
              <w:rPr>
                <w:i/>
                <w:sz w:val="22"/>
              </w:rPr>
              <w:t>XXXX</w:t>
            </w:r>
          </w:p>
          <w:p>
            <w:pPr>
              <w:pStyle w:val="Normal"/>
              <w:tabs>
                <w:tab w:val="clear" w:pos="720"/>
                <w:tab w:val="left" w:pos="2412" w:leader="none"/>
              </w:tabs>
              <w:ind w:start="1962" w:end="0"/>
              <w:rPr/>
            </w:pPr>
            <w:r>
              <w:rPr>
                <w:i/>
                <w:sz w:val="22"/>
              </w:rPr>
              <w:fldChar w:fldCharType="begin"/>
            </w:r>
            <w:r>
              <w:rPr>
                <w:sz w:val="22"/>
                <w:i/>
              </w:rPr>
              <w:instrText xml:space="preserve"> MERGEFIELD EnronLogoTelephone </w:instrText>
            </w:r>
            <w:r>
              <w:rPr>
                <w:sz w:val="22"/>
                <w:i/>
              </w:rPr>
              <w:fldChar w:fldCharType="separate"/>
            </w:r>
            <w:r>
              <w:rPr>
                <w:sz w:val="22"/>
                <w:i/>
              </w:rPr>
              <w:t>Fax (713) 646-</w:t>
            </w:r>
            <w:r>
              <w:rPr>
                <w:sz w:val="22"/>
                <w:i/>
              </w:rPr>
              <w:fldChar w:fldCharType="end"/>
            </w:r>
            <w:r>
              <w:rPr>
                <w:i/>
                <w:sz w:val="22"/>
              </w:rPr>
              <w:t>XXXX</w:t>
            </w:r>
          </w:p>
          <w:p>
            <w:pPr>
              <w:pStyle w:val="Normal"/>
              <w:tabs>
                <w:tab w:val="clear" w:pos="720"/>
                <w:tab w:val="left" w:pos="2412" w:leader="none"/>
              </w:tabs>
              <w:ind w:start="1962" w:end="0"/>
              <w:rPr>
                <w:i/>
                <w:i/>
                <w:sz w:val="22"/>
              </w:rPr>
            </w:pPr>
            <w:r>
              <w:rPr>
                <w:i/>
                <w:sz w:val="22"/>
              </w:rPr>
              <w:fldChar w:fldCharType="begin"/>
            </w:r>
            <w:r>
              <w:rPr>
                <w:sz w:val="22"/>
                <w:i/>
              </w:rPr>
              <w:instrText xml:space="preserve"> MERGEFIELD EnronLogoFax </w:instrText>
            </w:r>
            <w:r>
              <w:rPr>
                <w:sz w:val="22"/>
                <w:i/>
              </w:rPr>
              <w:fldChar w:fldCharType="separate"/>
            </w:r>
            <w:r>
              <w:rPr>
                <w:sz w:val="22"/>
                <w:i/>
              </w:rPr>
              <w:t xml:space="preserve"> </w:t>
            </w:r>
            <w:r>
              <w:rPr>
                <w:sz w:val="22"/>
                <w:i/>
              </w:rPr>
              <w:fldChar w:fldCharType="end"/>
            </w:r>
          </w:p>
        </w:tc>
      </w:tr>
    </w:tbl>
    <w:p>
      <w:pPr>
        <w:pStyle w:val="Normal"/>
        <w:rPr>
          <w:sz w:val="22"/>
        </w:rPr>
      </w:pPr>
      <w:r>
        <w:rPr>
          <w:sz w:val="22"/>
        </w:rPr>
      </w:r>
    </w:p>
    <w:p>
      <w:pPr>
        <w:pStyle w:val="Normal"/>
        <w:jc w:val="center"/>
        <w:rPr>
          <w:b/>
          <w:sz w:val="22"/>
        </w:rPr>
      </w:pPr>
      <w:r>
        <w:rPr>
          <w:b/>
          <w:sz w:val="22"/>
        </w:rPr>
        <w:t xml:space="preserve"> </w:t>
      </w:r>
      <w:r>
        <w:rPr>
          <w:b/>
          <w:sz w:val="22"/>
        </w:rPr>
        <w:t xml:space="preserve">CONFIRMATION </w:t>
      </w:r>
    </w:p>
    <w:p>
      <w:pPr>
        <w:pStyle w:val="Normal"/>
        <w:jc w:val="center"/>
        <w:rPr>
          <w:b/>
          <w:sz w:val="22"/>
        </w:rPr>
      </w:pPr>
      <w:r>
        <w:rPr>
          <w:b/>
          <w:sz w:val="22"/>
        </w:rPr>
        <w:t>(SWAP)</w:t>
      </w:r>
    </w:p>
    <w:p>
      <w:pPr>
        <w:pStyle w:val="Normal"/>
        <w:rPr>
          <w:b/>
          <w:sz w:val="22"/>
        </w:rPr>
      </w:pPr>
      <w:r>
        <w:rPr>
          <w:b/>
          <w:sz w:val="22"/>
        </w:rPr>
      </w:r>
    </w:p>
    <w:p>
      <w:pPr>
        <w:pStyle w:val="Normal"/>
        <w:rPr>
          <w:sz w:val="22"/>
        </w:rPr>
      </w:pPr>
      <w:r>
        <w:rPr>
          <w:sz w:val="22"/>
        </w:rPr>
        <w:t>Date:</w:t>
        <w:tab/>
        <w:tab/>
        <w:tab/>
        <w:tab/>
        <w:t>[                         ]</w:t>
      </w:r>
    </w:p>
    <w:p>
      <w:pPr>
        <w:pStyle w:val="Normal"/>
        <w:rPr>
          <w:sz w:val="22"/>
        </w:rPr>
      </w:pPr>
      <w:r>
        <w:rPr>
          <w:sz w:val="22"/>
        </w:rPr>
        <w:t>To:</w:t>
        <w:tab/>
        <w:tab/>
        <w:tab/>
        <w:tab/>
        <w:t>[                      ] (“Counterparty”)</w:t>
      </w:r>
    </w:p>
    <w:p>
      <w:pPr>
        <w:pStyle w:val="Normal"/>
        <w:rPr>
          <w:sz w:val="22"/>
        </w:rPr>
      </w:pPr>
      <w:r>
        <w:rPr>
          <w:sz w:val="22"/>
        </w:rPr>
        <w:t>Attention:</w:t>
        <w:tab/>
        <w:tab/>
        <w:tab/>
      </w:r>
      <w:r>
        <w:rPr>
          <w:sz w:val="22"/>
        </w:rPr>
        <w:fldChar w:fldCharType="begin"/>
      </w:r>
      <w:r>
        <w:rPr>
          <w:sz w:val="22"/>
        </w:rPr>
        <w:instrText xml:space="preserve"> MERGEFIELD CounterpartyContact </w:instrText>
      </w:r>
      <w:r>
        <w:rPr>
          <w:sz w:val="22"/>
        </w:rPr>
        <w:fldChar w:fldCharType="separate"/>
      </w:r>
      <w:r>
        <w:rPr>
          <w:sz w:val="22"/>
        </w:rPr>
        <w:t>Document Department</w:t>
      </w:r>
      <w:r>
        <w:rPr>
          <w:sz w:val="22"/>
        </w:rPr>
        <w:fldChar w:fldCharType="end"/>
      </w:r>
    </w:p>
    <w:p>
      <w:pPr>
        <w:pStyle w:val="Normal"/>
        <w:rPr>
          <w:sz w:val="22"/>
        </w:rPr>
      </w:pPr>
      <w:r>
        <w:rPr>
          <w:sz w:val="22"/>
        </w:rPr>
        <w:t>Fax No.:</w:t>
        <w:tab/>
        <w:tab/>
        <w:tab/>
        <w:t>[                      ]</w:t>
      </w:r>
    </w:p>
    <w:p>
      <w:pPr>
        <w:pStyle w:val="Normal"/>
        <w:rPr/>
      </w:pPr>
      <w:r>
        <w:rPr>
          <w:sz w:val="22"/>
        </w:rPr>
        <w:t>From:</w:t>
        <w:tab/>
        <w:tab/>
        <w:tab/>
        <w:tab/>
      </w:r>
      <w:r>
        <w:rPr>
          <w:sz w:val="22"/>
        </w:rPr>
        <w:fldChar w:fldCharType="begin"/>
      </w:r>
      <w:r>
        <w:rPr>
          <w:sz w:val="22"/>
        </w:rPr>
        <w:instrText xml:space="preserve"> MERGEFIELD EnronEntityNameCode </w:instrText>
      </w:r>
      <w:r>
        <w:rPr>
          <w:sz w:val="22"/>
        </w:rPr>
        <w:fldChar w:fldCharType="separate"/>
      </w:r>
      <w:r>
        <w:rPr>
          <w:sz w:val="22"/>
        </w:rPr>
        <w:t>Enron Freigt Markets.</w:t>
      </w:r>
      <w:r>
        <w:rPr>
          <w:sz w:val="22"/>
        </w:rPr>
        <w:fldChar w:fldCharType="end"/>
      </w:r>
      <w:r>
        <w:rPr>
          <w:sz w:val="22"/>
        </w:rPr>
        <w:t xml:space="preserve"> (“EFM”)</w:t>
      </w:r>
    </w:p>
    <w:p>
      <w:pPr>
        <w:pStyle w:val="Normal"/>
        <w:rPr>
          <w:sz w:val="22"/>
        </w:rPr>
      </w:pPr>
      <w:r>
        <w:rPr>
          <w:sz w:val="22"/>
        </w:rPr>
        <w:t>Re:</w:t>
        <w:tab/>
        <w:tab/>
        <w:tab/>
        <w:tab/>
        <w:t>Commodity Swap [EFM Ref No.]</w:t>
      </w:r>
      <w:r>
        <w:rPr>
          <w:sz w:val="22"/>
        </w:rPr>
        <w:fldChar w:fldCharType="begin"/>
      </w:r>
      <w:r>
        <w:rPr>
          <w:sz w:val="22"/>
        </w:rPr>
        <w:instrText xml:space="preserve"> MERGEFIELD DealNumber </w:instrText>
      </w:r>
      <w:r>
        <w:rPr>
          <w:sz w:val="22"/>
        </w:rPr>
        <w:fldChar w:fldCharType="separate"/>
      </w:r>
      <w:r>
        <w:rPr>
          <w:sz w:val="22"/>
        </w:rPr>
      </w:r>
      <w:r>
        <w:rPr>
          <w:sz w:val="22"/>
        </w:rPr>
        <w:fldChar w:fldCharType="end"/>
      </w:r>
    </w:p>
    <w:p>
      <w:pPr>
        <w:pStyle w:val="Normal"/>
        <w:rPr>
          <w:sz w:val="22"/>
        </w:rPr>
      </w:pPr>
      <w:r>
        <w:rPr>
          <w:sz w:val="22"/>
        </w:rPr>
      </w:r>
    </w:p>
    <w:p>
      <w:pPr>
        <w:pStyle w:val="Normal"/>
        <w:jc w:val="both"/>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tab/>
      </w:r>
    </w:p>
    <w:tbl>
      <w:tblPr>
        <w:tblW w:w="9918" w:type="dxa"/>
        <w:jc w:val="start"/>
        <w:tblInd w:w="0" w:type="dxa"/>
        <w:tblLayout w:type="fixed"/>
        <w:tblCellMar>
          <w:top w:w="0" w:type="dxa"/>
          <w:start w:w="108" w:type="dxa"/>
          <w:bottom w:w="0" w:type="dxa"/>
          <w:end w:w="108" w:type="dxa"/>
        </w:tblCellMar>
      </w:tblPr>
      <w:tblGrid>
        <w:gridCol w:w="4248"/>
        <w:gridCol w:w="5670"/>
      </w:tblGrid>
      <w:tr>
        <w:trPr/>
        <w:tc>
          <w:tcPr>
            <w:tcW w:w="4248" w:type="dxa"/>
            <w:tcBorders/>
          </w:tcPr>
          <w:p>
            <w:pPr>
              <w:pStyle w:val="Normal"/>
              <w:ind w:start="720" w:end="0"/>
              <w:rPr>
                <w:sz w:val="22"/>
              </w:rPr>
            </w:pPr>
            <w:r>
              <w:rPr>
                <w:sz w:val="22"/>
              </w:rPr>
              <w:t>Notional Quantity per</w:t>
            </w:r>
          </w:p>
        </w:tc>
        <w:tc>
          <w:tcPr>
            <w:tcW w:w="5670" w:type="dxa"/>
            <w:tcBorders/>
          </w:tcPr>
          <w:p>
            <w:pPr>
              <w:pStyle w:val="Normal"/>
              <w:snapToGrid w:val="false"/>
              <w:rPr>
                <w:sz w:val="22"/>
              </w:rPr>
            </w:pPr>
            <w:r>
              <w:rPr>
                <w:sz w:val="22"/>
              </w:rPr>
            </w:r>
          </w:p>
        </w:tc>
      </w:tr>
      <w:tr>
        <w:trPr/>
        <w:tc>
          <w:tcPr>
            <w:tcW w:w="4248" w:type="dxa"/>
            <w:tcBorders/>
          </w:tcPr>
          <w:p>
            <w:pPr>
              <w:pStyle w:val="Normal"/>
              <w:ind w:start="720" w:end="0"/>
              <w:rPr>
                <w:sz w:val="22"/>
              </w:rPr>
            </w:pPr>
            <w:r>
              <w:rPr>
                <w:sz w:val="22"/>
              </w:rPr>
              <w:t>Determination Period:</w:t>
            </w:r>
          </w:p>
        </w:tc>
        <w:tc>
          <w:tcPr>
            <w:tcW w:w="5670" w:type="dxa"/>
            <w:tcBorders/>
          </w:tcPr>
          <w:p>
            <w:pPr>
              <w:pStyle w:val="Normal"/>
              <w:jc w:val="both"/>
              <w:rPr/>
            </w:pPr>
            <w:r>
              <w:rPr>
                <w:sz w:val="22"/>
              </w:rPr>
              <w:fldChar w:fldCharType="begin"/>
            </w:r>
            <w:r>
              <w:rPr>
                <w:sz w:val="22"/>
              </w:rPr>
              <w:instrText xml:space="preserve"> MERGEFIELD QtyPerPeriod </w:instrText>
            </w:r>
            <w:r>
              <w:rPr>
                <w:sz w:val="22"/>
              </w:rPr>
              <w:fldChar w:fldCharType="separate"/>
            </w:r>
            <w:r>
              <w:rPr>
                <w:sz w:val="22"/>
              </w:rPr>
              <w:t xml:space="preserve">[            ] Gallons </w:t>
            </w:r>
            <w:r>
              <w:rPr>
                <w:sz w:val="22"/>
              </w:rPr>
              <w:fldChar w:fldCharType="end"/>
            </w:r>
            <w:r>
              <w:rPr>
                <w:sz w:val="22"/>
              </w:rPr>
              <w:t>multiplied by the number of days in the applicable Determination Period</w:t>
            </w:r>
          </w:p>
        </w:tc>
      </w:tr>
      <w:tr>
        <w:trPr/>
        <w:tc>
          <w:tcPr>
            <w:tcW w:w="4248" w:type="dxa"/>
            <w:tcBorders/>
          </w:tcPr>
          <w:p>
            <w:pPr>
              <w:pStyle w:val="Normal"/>
              <w:snapToGrid w:val="false"/>
              <w:rPr>
                <w:sz w:val="22"/>
              </w:rPr>
            </w:pPr>
            <w:r>
              <w:rPr>
                <w:sz w:val="22"/>
              </w:rPr>
            </w:r>
          </w:p>
        </w:tc>
        <w:tc>
          <w:tcPr>
            <w:tcW w:w="5670" w:type="dxa"/>
            <w:tcBorders/>
          </w:tcPr>
          <w:p>
            <w:pPr>
              <w:pStyle w:val="Normal"/>
              <w:snapToGrid w:val="false"/>
              <w:rPr>
                <w:sz w:val="22"/>
              </w:rPr>
            </w:pPr>
            <w:r>
              <w:rPr>
                <w:sz w:val="22"/>
              </w:rPr>
            </w:r>
          </w:p>
        </w:tc>
      </w:tr>
    </w:tbl>
    <w:p>
      <w:pPr>
        <w:pStyle w:val="Normal"/>
        <w:tabs>
          <w:tab w:val="left" w:pos="720" w:leader="none"/>
          <w:tab w:val="left" w:pos="4230" w:leader="none"/>
        </w:tabs>
        <w:rPr>
          <w:sz w:val="22"/>
        </w:rPr>
      </w:pPr>
      <w:r>
        <w:rPr>
          <w:sz w:val="22"/>
        </w:rPr>
        <w:tab/>
        <w:t>Commodity:</w:t>
        <w:tab/>
        <w:t>Diesel</w:t>
      </w:r>
    </w:p>
    <w:p>
      <w:pPr>
        <w:pStyle w:val="Normal"/>
        <w:tabs>
          <w:tab w:val="left" w:pos="720" w:leader="none"/>
        </w:tabs>
        <w:rPr>
          <w:sz w:val="22"/>
        </w:rPr>
      </w:pPr>
      <w:r>
        <w:rPr>
          <w:sz w:val="22"/>
        </w:rPr>
      </w:r>
    </w:p>
    <w:p>
      <w:pPr>
        <w:pStyle w:val="Normal"/>
        <w:tabs>
          <w:tab w:val="left" w:pos="720" w:leader="none"/>
          <w:tab w:val="left" w:pos="4230" w:leader="none"/>
        </w:tabs>
        <w:rPr>
          <w:sz w:val="22"/>
        </w:rPr>
      </w:pPr>
      <w:r>
        <w:rPr>
          <w:sz w:val="22"/>
        </w:rPr>
        <w:tab/>
        <w:t>Commodity Unit:</w:t>
        <w:tab/>
        <w:t xml:space="preserve">Gallon </w:t>
      </w:r>
    </w:p>
    <w:p>
      <w:pPr>
        <w:pStyle w:val="Normal"/>
        <w:rPr>
          <w:sz w:val="22"/>
        </w:rPr>
      </w:pPr>
      <w:r>
        <w:rPr>
          <w:sz w:val="22"/>
        </w:rPr>
      </w:r>
    </w:p>
    <w:p>
      <w:pPr>
        <w:pStyle w:val="Normal"/>
        <w:tabs>
          <w:tab w:val="left" w:pos="720" w:leader="none"/>
          <w:tab w:val="left" w:pos="4230" w:leader="none"/>
        </w:tabs>
        <w:rPr>
          <w:sz w:val="22"/>
        </w:rPr>
      </w:pPr>
      <w:r>
        <w:rPr>
          <w:sz w:val="22"/>
        </w:rPr>
        <w:tab/>
        <w:t>Trade Date:</w:t>
        <w:tab/>
        <w:t>[To Be Agreed]</w:t>
      </w:r>
    </w:p>
    <w:p>
      <w:pPr>
        <w:pStyle w:val="Normal"/>
        <w:tabs>
          <w:tab w:val="left" w:pos="720" w:leader="none"/>
        </w:tabs>
        <w:rPr>
          <w:sz w:val="22"/>
        </w:rPr>
      </w:pPr>
      <w:r>
        <w:rPr>
          <w:sz w:val="22"/>
        </w:rPr>
      </w:r>
    </w:p>
    <w:p>
      <w:pPr>
        <w:pStyle w:val="Normal"/>
        <w:tabs>
          <w:tab w:val="left" w:pos="720" w:leader="none"/>
        </w:tabs>
        <w:rPr>
          <w:sz w:val="22"/>
        </w:rPr>
      </w:pPr>
      <w:r>
        <w:rPr>
          <w:sz w:val="22"/>
        </w:rPr>
        <w:tab/>
        <w:t>Effective Date:</w:t>
        <w:tab/>
        <w:tab/>
        <w:tab/>
        <w:t xml:space="preserve">           [                       ]</w:t>
      </w:r>
    </w:p>
    <w:p>
      <w:pPr>
        <w:pStyle w:val="Normal"/>
        <w:rPr>
          <w:sz w:val="22"/>
        </w:rPr>
      </w:pPr>
      <w:r>
        <w:rPr>
          <w:sz w:val="22"/>
        </w:rPr>
      </w:r>
    </w:p>
    <w:p>
      <w:pPr>
        <w:pStyle w:val="Normal"/>
        <w:rPr>
          <w:sz w:val="22"/>
        </w:rPr>
      </w:pPr>
      <w:r>
        <w:rPr>
          <w:sz w:val="22"/>
        </w:rPr>
        <w:tab/>
        <w:t>Termination Date:</w:t>
        <w:tab/>
        <w:tab/>
        <w:t xml:space="preserve">           [                       ]</w:t>
      </w:r>
    </w:p>
    <w:p>
      <w:pPr>
        <w:pStyle w:val="Normal"/>
        <w:rPr>
          <w:sz w:val="22"/>
        </w:rPr>
      </w:pPr>
      <w:r>
        <w:rPr>
          <w:sz w:val="22"/>
        </w:rPr>
      </w:r>
    </w:p>
    <w:tbl>
      <w:tblPr>
        <w:tblW w:w="10368" w:type="dxa"/>
        <w:jc w:val="start"/>
        <w:tblInd w:w="0" w:type="dxa"/>
        <w:tblLayout w:type="fixed"/>
        <w:tblCellMar>
          <w:top w:w="0" w:type="dxa"/>
          <w:start w:w="108" w:type="dxa"/>
          <w:bottom w:w="0" w:type="dxa"/>
          <w:end w:w="108" w:type="dxa"/>
        </w:tblCellMar>
      </w:tblPr>
      <w:tblGrid>
        <w:gridCol w:w="4248"/>
        <w:gridCol w:w="5238"/>
        <w:gridCol w:w="864"/>
        <w:gridCol w:w="18"/>
      </w:tblGrid>
      <w:tr>
        <w:trPr/>
        <w:tc>
          <w:tcPr>
            <w:tcW w:w="4248" w:type="dxa"/>
            <w:tcBorders/>
          </w:tcPr>
          <w:p>
            <w:pPr>
              <w:pStyle w:val="Normal"/>
              <w:rPr>
                <w:sz w:val="22"/>
              </w:rPr>
            </w:pPr>
            <w:r>
              <w:rPr>
                <w:sz w:val="22"/>
              </w:rPr>
              <w:t xml:space="preserve">             </w:t>
            </w:r>
            <w:r>
              <w:rPr>
                <w:sz w:val="22"/>
              </w:rPr>
              <w:t>Determination Period(s):</w:t>
            </w:r>
          </w:p>
        </w:tc>
        <w:tc>
          <w:tcPr>
            <w:tcW w:w="5238"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[Effective Date] and ending on [Termination Date]</w:t>
            </w:r>
            <w:r>
              <w:rPr>
                <w:sz w:val="22"/>
              </w:rPr>
              <w:fldChar w:fldCharType="end"/>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rPr>
                <w:b/>
                <w:sz w:val="22"/>
              </w:rPr>
            </w:pPr>
            <w:r>
              <w:rPr>
                <w:b/>
                <w:sz w:val="22"/>
              </w:rPr>
              <w:t>Fixed Amount Details:</w:t>
            </w:r>
          </w:p>
        </w:tc>
        <w:tc>
          <w:tcPr>
            <w:tcW w:w="5238" w:type="dxa"/>
            <w:tcBorders/>
          </w:tcPr>
          <w:p>
            <w:pPr>
              <w:pStyle w:val="Normal"/>
              <w:snapToGrid w:val="false"/>
              <w:jc w:val="both"/>
              <w:rPr>
                <w:b/>
                <w:sz w:val="22"/>
              </w:rPr>
            </w:pPr>
            <w:r>
              <w:rPr>
                <w:b/>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 Payor:</w:t>
            </w:r>
          </w:p>
        </w:tc>
        <w:tc>
          <w:tcPr>
            <w:tcW w:w="5238" w:type="dxa"/>
            <w:tcBorders/>
          </w:tcPr>
          <w:p>
            <w:pPr>
              <w:pStyle w:val="Normal"/>
              <w:jc w:val="both"/>
              <w:rPr>
                <w:sz w:val="22"/>
              </w:rPr>
            </w:pPr>
            <w:r>
              <w:rPr>
                <w:sz w:val="22"/>
              </w:rPr>
              <w:t>EFM/Counterparty</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Fixed Price:</w:t>
            </w:r>
          </w:p>
        </w:tc>
        <w:tc>
          <w:tcPr>
            <w:tcW w:w="5238" w:type="dxa"/>
            <w:tcBorders/>
          </w:tcPr>
          <w:p>
            <w:pPr>
              <w:pStyle w:val="Normal"/>
              <w:jc w:val="both"/>
              <w:rPr>
                <w:sz w:val="22"/>
              </w:rPr>
            </w:pPr>
            <w:r>
              <w:rPr>
                <w:sz w:val="22"/>
              </w:rPr>
              <w:t xml:space="preserve">US Dollars $[            ] per Gallon plus </w:t>
            </w:r>
            <w:r>
              <w:rPr>
                <w:b/>
                <w:bCs/>
                <w:i/>
                <w:iCs/>
                <w:sz w:val="22"/>
              </w:rPr>
              <w:t>Tax Adjustment</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Heading1"/>
              <w:ind w:hanging="0" w:start="0"/>
              <w:rPr/>
            </w:pPr>
            <w:r>
              <w:rPr/>
              <w:t>Floating Amount Details</w:t>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 Payor:</w:t>
            </w:r>
          </w:p>
        </w:tc>
        <w:tc>
          <w:tcPr>
            <w:tcW w:w="5238" w:type="dxa"/>
            <w:tcBorders/>
          </w:tcPr>
          <w:p>
            <w:pPr>
              <w:pStyle w:val="Normal"/>
              <w:jc w:val="both"/>
              <w:rPr>
                <w:sz w:val="22"/>
              </w:rPr>
            </w:pPr>
            <w:r>
              <w:rPr>
                <w:sz w:val="22"/>
              </w:rPr>
              <w:t>EFM/Counterparty</w:t>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snapToGrid w:val="false"/>
              <w:rPr>
                <w:sz w:val="22"/>
              </w:rPr>
            </w:pPr>
            <w:r>
              <w:rPr>
                <w:sz w:val="22"/>
              </w:rPr>
            </w:r>
          </w:p>
        </w:tc>
        <w:tc>
          <w:tcPr>
            <w:tcW w:w="5238" w:type="dxa"/>
            <w:tcBorders/>
          </w:tcPr>
          <w:p>
            <w:pPr>
              <w:pStyle w:val="Normal"/>
              <w:snapToGrid w:val="false"/>
              <w:jc w:val="both"/>
              <w:rPr>
                <w:sz w:val="22"/>
              </w:rPr>
            </w:pPr>
            <w:r>
              <w:rPr>
                <w:sz w:val="22"/>
              </w:rPr>
            </w:r>
          </w:p>
        </w:tc>
        <w:tc>
          <w:tcPr>
            <w:tcW w:w="882" w:type="dxa"/>
            <w:tcBorders/>
            <w:tcMar>
              <w:start w:w="0" w:type="dxa"/>
              <w:end w:w="0" w:type="dxa"/>
            </w:tcMar>
          </w:tcPr>
          <w:p>
            <w:pPr>
              <w:pStyle w:val="Normal"/>
              <w:snapToGrid w:val="false"/>
              <w:rPr>
                <w:sz w:val="22"/>
              </w:rPr>
            </w:pPr>
            <w:r>
              <w:rPr>
                <w:sz w:val="22"/>
              </w:rPr>
            </w:r>
          </w:p>
        </w:tc>
      </w:tr>
      <w:tr>
        <w:trPr/>
        <w:tc>
          <w:tcPr>
            <w:tcW w:w="4248" w:type="dxa"/>
            <w:tcBorders/>
          </w:tcPr>
          <w:p>
            <w:pPr>
              <w:pStyle w:val="Normal"/>
              <w:ind w:firstLine="720" w:end="0"/>
              <w:rPr>
                <w:sz w:val="22"/>
              </w:rPr>
            </w:pPr>
            <w:r>
              <w:rPr>
                <w:sz w:val="22"/>
              </w:rPr>
              <w:t>Floating Price:</w:t>
            </w:r>
          </w:p>
        </w:tc>
        <w:tc>
          <w:tcPr>
            <w:tcW w:w="6120" w:type="dxa"/>
            <w:gridSpan w:val="2"/>
            <w:tcBorders/>
          </w:tcPr>
          <w:p>
            <w:pPr>
              <w:pStyle w:val="Normal"/>
              <w:jc w:val="both"/>
              <w:rPr>
                <w:sz w:val="22"/>
              </w:rPr>
            </w:pPr>
            <w:r>
              <w:rPr>
                <w:sz w:val="22"/>
              </w:rPr>
              <w:t>DOE National Average Index</w:t>
            </w:r>
          </w:p>
        </w:tc>
      </w:tr>
      <w:tr>
        <w:trPr/>
        <w:tc>
          <w:tcPr>
            <w:tcW w:w="4248" w:type="dxa"/>
            <w:tcBorders/>
          </w:tcPr>
          <w:p>
            <w:pPr>
              <w:pStyle w:val="Normal"/>
              <w:tabs>
                <w:tab w:val="left" w:pos="720" w:leader="none"/>
              </w:tabs>
              <w:rPr>
                <w:sz w:val="22"/>
              </w:rPr>
            </w:pPr>
            <w:r>
              <w:rPr>
                <w:sz w:val="22"/>
              </w:rPr>
              <w:t xml:space="preserve">            </w:t>
            </w:r>
            <w:r>
              <w:rPr>
                <w:sz w:val="22"/>
              </w:rPr>
              <w:fldChar w:fldCharType="begin"/>
            </w:r>
            <w:r>
              <w:rPr>
                <w:sz w:val="22"/>
              </w:rPr>
              <w:instrText xml:space="preserve"> MERGEFIELD AlternatePriceLit </w:instrText>
            </w:r>
            <w:r>
              <w:rPr>
                <w:sz w:val="22"/>
              </w:rPr>
              <w:fldChar w:fldCharType="separate"/>
            </w:r>
            <w:r>
              <w:rPr>
                <w:sz w:val="22"/>
              </w:rPr>
              <w:t xml:space="preserve"> </w:t>
            </w:r>
            <w:r>
              <w:rPr>
                <w:sz w:val="22"/>
              </w:rPr>
              <w:fldChar w:fldCharType="end"/>
            </w:r>
          </w:p>
        </w:tc>
        <w:tc>
          <w:tcPr>
            <w:tcW w:w="6120" w:type="dxa"/>
            <w:gridSpan w:val="2"/>
            <w:tcBorders/>
          </w:tcPr>
          <w:p>
            <w:pPr>
              <w:pStyle w:val="Normal"/>
              <w:ind w:start="-18" w:end="0"/>
              <w:jc w:val="both"/>
              <w:rPr>
                <w:sz w:val="22"/>
              </w:rPr>
            </w:pPr>
            <w:r>
              <w:rPr>
                <w:sz w:val="22"/>
              </w:rPr>
              <w:fldChar w:fldCharType="begin"/>
            </w:r>
            <w:r>
              <w:rPr>
                <w:sz w:val="22"/>
              </w:rPr>
              <w:instrText xml:space="preserve"> MERGEFIELD AlternatePrice </w:instrText>
            </w:r>
            <w:r>
              <w:rPr>
                <w:sz w:val="22"/>
              </w:rPr>
              <w:fldChar w:fldCharType="separate"/>
            </w:r>
            <w:r>
              <w:rPr>
                <w:sz w:val="22"/>
              </w:rPr>
              <w:t xml:space="preserve"> </w:t>
            </w:r>
            <w:r>
              <w:rPr>
                <w:sz w:val="22"/>
              </w:rPr>
              <w:fldChar w:fldCharType="end"/>
            </w:r>
          </w:p>
        </w:tc>
      </w:tr>
      <w:tr>
        <w:trPr/>
        <w:tc>
          <w:tcPr>
            <w:tcW w:w="4248" w:type="dxa"/>
            <w:tcBorders/>
          </w:tcPr>
          <w:p>
            <w:pPr>
              <w:pStyle w:val="Normal"/>
              <w:rPr>
                <w:sz w:val="22"/>
              </w:rPr>
            </w:pPr>
            <w:r>
              <w:rPr>
                <w:b/>
                <w:sz w:val="22"/>
              </w:rPr>
              <w:t>Contractual Currency:</w:t>
            </w:r>
          </w:p>
        </w:tc>
        <w:tc>
          <w:tcPr>
            <w:tcW w:w="6102" w:type="dxa"/>
            <w:gridSpan w:val="2"/>
            <w:tcBorders/>
          </w:tcPr>
          <w:p>
            <w:pPr>
              <w:pStyle w:val="Normal"/>
              <w:jc w:val="both"/>
              <w:rPr>
                <w:sz w:val="22"/>
              </w:rPr>
            </w:pPr>
            <w:r>
              <w:rPr>
                <w:sz w:val="22"/>
              </w:rPr>
              <w:fldChar w:fldCharType="begin"/>
            </w:r>
            <w:r>
              <w:rPr>
                <w:sz w:val="22"/>
              </w:rPr>
              <w:instrText xml:space="preserve"> MERGEFIELD CurrencyDesc </w:instrText>
            </w:r>
            <w:r>
              <w:rPr>
                <w:sz w:val="22"/>
              </w:rPr>
              <w:fldChar w:fldCharType="separate"/>
            </w:r>
            <w:r>
              <w:rPr>
                <w:sz w:val="22"/>
              </w:rPr>
              <w:t>US Dollars</w:t>
            </w:r>
            <w:r>
              <w:rPr>
                <w:sz w:val="22"/>
              </w:rPr>
              <w:fldChar w:fldCharType="end"/>
            </w:r>
          </w:p>
        </w:tc>
      </w:tr>
    </w:tbl>
    <w:p>
      <w:pPr>
        <w:pStyle w:val="Normal"/>
        <w:rPr>
          <w:b/>
          <w:sz w:val="22"/>
        </w:rPr>
      </w:pPr>
      <w:r>
        <w:rPr>
          <w:b/>
          <w:sz w:val="22"/>
        </w:rPr>
      </w:r>
    </w:p>
    <w:p>
      <w:pPr>
        <w:pStyle w:val="Normal"/>
        <w:tabs>
          <w:tab w:val="clear" w:pos="720"/>
          <w:tab w:val="left" w:pos="4230" w:leader="none"/>
        </w:tabs>
        <w:jc w:val="both"/>
        <w:rPr>
          <w:sz w:val="22"/>
        </w:rPr>
      </w:pPr>
      <w:r>
        <w:rPr>
          <w:b/>
          <w:sz w:val="22"/>
        </w:rPr>
        <w:t>Governing Law:</w:t>
      </w:r>
      <w:r>
        <w:rPr>
          <w:sz w:val="22"/>
        </w:rPr>
        <w:tab/>
      </w:r>
      <w:r>
        <w:rPr>
          <w:sz w:val="22"/>
        </w:rPr>
        <w:fldChar w:fldCharType="begin"/>
      </w:r>
      <w:r>
        <w:rPr>
          <w:sz w:val="22"/>
        </w:rPr>
        <w:instrText xml:space="preserve"> MERGEFIELD GoverningLaw </w:instrText>
      </w:r>
      <w:r>
        <w:rPr>
          <w:sz w:val="22"/>
        </w:rPr>
        <w:fldChar w:fldCharType="separate"/>
      </w:r>
      <w:r>
        <w:rPr>
          <w:sz w:val="22"/>
        </w:rPr>
        <w:t>Texas</w:t>
      </w:r>
      <w:r>
        <w:rPr>
          <w:sz w:val="22"/>
        </w:rPr>
        <w:fldChar w:fldCharType="end"/>
      </w:r>
    </w:p>
    <w:p>
      <w:pPr>
        <w:pStyle w:val="Normal"/>
        <w:tabs>
          <w:tab w:val="left" w:pos="720" w:leader="none"/>
          <w:tab w:val="left" w:pos="4320" w:leader="none"/>
        </w:tabs>
        <w:jc w:val="both"/>
        <w:rPr>
          <w:b/>
          <w:sz w:val="22"/>
        </w:rPr>
      </w:pPr>
      <w:r>
        <w:rPr>
          <w:b/>
          <w:sz w:val="22"/>
        </w:rPr>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b/>
                <w:sz w:val="22"/>
              </w:rPr>
            </w:pPr>
            <w:r>
              <w:rPr>
                <w:b/>
                <w:sz w:val="22"/>
              </w:rPr>
              <w:t>General Terms and Conditions</w:t>
            </w:r>
          </w:p>
          <w:p>
            <w:pPr>
              <w:pStyle w:val="Normal"/>
              <w:rPr>
                <w:sz w:val="22"/>
              </w:rPr>
            </w:pPr>
            <w:r>
              <w:rPr>
                <w:b/>
                <w:sz w:val="22"/>
              </w:rPr>
              <w:t>of Confirmations:</w:t>
            </w:r>
          </w:p>
        </w:tc>
        <w:tc>
          <w:tcPr>
            <w:tcW w:w="6102" w:type="dxa"/>
            <w:tcBorders/>
          </w:tcPr>
          <w:p>
            <w:pPr>
              <w:pStyle w:val="Normal"/>
              <w:snapToGrid w:val="false"/>
              <w:jc w:val="both"/>
              <w:rPr>
                <w:sz w:val="22"/>
              </w:rPr>
            </w:pPr>
            <w:r>
              <w:rPr>
                <w:sz w:val="22"/>
              </w:rPr>
            </w:r>
          </w:p>
          <w:p>
            <w:pPr>
              <w:pStyle w:val="Normal"/>
              <w:jc w:val="both"/>
              <w:rPr/>
            </w:pPr>
            <w:r>
              <w:rPr>
                <w:sz w:val="22"/>
              </w:rPr>
              <w:t>The general terms and conditions contained in Annex A</w:t>
            </w:r>
            <w:r>
              <w:rPr>
                <w:b/>
                <w:sz w:val="22"/>
              </w:rPr>
              <w:t xml:space="preserve"> </w:t>
            </w:r>
            <w:r>
              <w:rPr>
                <w:sz w:val="22"/>
              </w:rPr>
              <w:t>attached hereto and made a part hereof apply and are incorporated herein by reference</w:t>
            </w:r>
          </w:p>
        </w:tc>
      </w:tr>
    </w:tbl>
    <w:p>
      <w:pPr>
        <w:pStyle w:val="Normal"/>
        <w:tabs>
          <w:tab w:val="clear" w:pos="720"/>
          <w:tab w:val="left" w:pos="9000" w:leader="none"/>
        </w:tabs>
        <w:rPr/>
      </w:pPr>
      <w:r>
        <w:rPr/>
        <w:tab/>
        <w:tab/>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sz w:val="22"/>
              </w:rPr>
            </w:pPr>
            <w:r>
              <w:rPr>
                <w:b/>
                <w:sz w:val="22"/>
              </w:rPr>
              <w:t>Credit or Other Special Provisions:</w:t>
            </w:r>
          </w:p>
        </w:tc>
        <w:tc>
          <w:tcPr>
            <w:tcW w:w="6102" w:type="dxa"/>
            <w:tcBorders/>
          </w:tcPr>
          <w:p>
            <w:pPr>
              <w:pStyle w:val="Heading2"/>
              <w:ind w:hanging="0" w:start="0"/>
              <w:rPr/>
            </w:pPr>
            <w:r>
              <w:rPr/>
              <w:t>To Be Attached in Annex B</w:t>
            </w:r>
          </w:p>
        </w:tc>
      </w:tr>
    </w:tbl>
    <w:p>
      <w:pPr>
        <w:pStyle w:val="Normal"/>
        <w:rPr>
          <w:sz w:val="22"/>
        </w:rPr>
      </w:pPr>
      <w:r>
        <w:rPr>
          <w:sz w:val="22"/>
        </w:rPr>
      </w:r>
    </w:p>
    <w:tbl>
      <w:tblPr>
        <w:tblW w:w="10350" w:type="dxa"/>
        <w:jc w:val="start"/>
        <w:tblInd w:w="0" w:type="dxa"/>
        <w:tblLayout w:type="fixed"/>
        <w:tblCellMar>
          <w:top w:w="0" w:type="dxa"/>
          <w:start w:w="108" w:type="dxa"/>
          <w:bottom w:w="0" w:type="dxa"/>
          <w:end w:w="108" w:type="dxa"/>
        </w:tblCellMar>
      </w:tblPr>
      <w:tblGrid>
        <w:gridCol w:w="4248"/>
        <w:gridCol w:w="6102"/>
      </w:tblGrid>
      <w:tr>
        <w:trPr/>
        <w:tc>
          <w:tcPr>
            <w:tcW w:w="4248" w:type="dxa"/>
            <w:tcBorders/>
          </w:tcPr>
          <w:p>
            <w:pPr>
              <w:pStyle w:val="Normal"/>
              <w:rPr>
                <w:sz w:val="22"/>
              </w:rPr>
            </w:pPr>
            <w:r>
              <w:rPr>
                <w:b/>
                <w:sz w:val="22"/>
              </w:rPr>
              <w:t>Additional Definitions:</w:t>
            </w:r>
          </w:p>
        </w:tc>
        <w:tc>
          <w:tcPr>
            <w:tcW w:w="6102" w:type="dxa"/>
            <w:tcBorders/>
          </w:tcPr>
          <w:p>
            <w:pPr>
              <w:pStyle w:val="Heading2"/>
              <w:ind w:hanging="0" w:start="0"/>
              <w:rPr/>
            </w:pPr>
            <w:r>
              <w:rPr>
                <w:b w:val="false"/>
                <w:bCs w:val="false"/>
                <w:i w:val="false"/>
                <w:iCs w:val="false"/>
              </w:rPr>
              <w:t>“</w:t>
            </w:r>
            <w:r>
              <w:rPr>
                <w:b w:val="false"/>
                <w:bCs w:val="false"/>
                <w:i w:val="false"/>
                <w:iCs w:val="false"/>
                <w:u w:val="single"/>
              </w:rPr>
              <w:t>DOE National Average Index</w:t>
            </w:r>
            <w:r>
              <w:rPr>
                <w:b w:val="false"/>
                <w:bCs w:val="false"/>
                <w:i w:val="false"/>
                <w:iCs w:val="false"/>
              </w:rPr>
              <w:t>” means the sum of the Daily Prices for each day during the Determination Period divided by the number of days in the Determination Period.</w:t>
            </w:r>
          </w:p>
          <w:p>
            <w:pPr>
              <w:pStyle w:val="Normal"/>
              <w:rPr/>
            </w:pPr>
            <w:r>
              <w:rPr/>
              <w:t>“</w:t>
            </w:r>
            <w:r>
              <w:rPr>
                <w:u w:val="single"/>
              </w:rPr>
              <w:t>Daily Price</w:t>
            </w:r>
            <w:r>
              <w:rPr/>
              <w:t>” means for each day of a week beginning Monday and ending Sunday, the DOE Weekly Index Price published that Monday or, if that Monday is a holiday, the DOE Weekly Index Price published the next day, Tuesday.</w:t>
            </w:r>
          </w:p>
          <w:p>
            <w:pPr>
              <w:pStyle w:val="Normal"/>
              <w:rPr/>
            </w:pPr>
            <w:r>
              <w:rPr/>
              <w:t>“</w:t>
            </w:r>
            <w:r>
              <w:rPr>
                <w:u w:val="single"/>
              </w:rPr>
              <w:t>DOE Weekly Index Price</w:t>
            </w:r>
            <w:r>
              <w:rPr/>
              <w:t xml:space="preserve">” means the price listed by the Department of Energy as the National U.S. Average for Retail On-Highway Diesel Fuel available by calling 202-586-6966 or at the following website: </w:t>
            </w:r>
            <w:hyperlink r:id="rId3">
              <w:r>
                <w:rPr>
                  <w:rStyle w:val="Hyperlink"/>
                </w:rPr>
                <w:t>http://www.eia.doe.gov/pub/oil_gas/petroleum/data_publications/weekly_on_highway_diesel_prices/current/html/diesel.html</w:t>
              </w:r>
            </w:hyperlink>
            <w:r>
              <w:rPr/>
              <w:t>.</w:t>
            </w:r>
          </w:p>
          <w:p>
            <w:pPr>
              <w:pStyle w:val="Normal"/>
              <w:rPr/>
            </w:pPr>
            <w:r>
              <w:rPr/>
              <w:t>“</w:t>
            </w:r>
            <w:r>
              <w:rPr>
                <w:u w:val="single"/>
              </w:rPr>
              <w:t>Tax Adjustment</w:t>
            </w:r>
            <w:r>
              <w:rPr/>
              <w:t>” means the adjustment to the Fixed Price at the end of any Determination Period by an amount equal to any increase or decrease during a Determination Period in the federal diesel tax included as a component of the DOE Weekly Index Price.  The current federal diesel tax rate is $0.244 per gallon.</w:t>
            </w:r>
          </w:p>
        </w:tc>
      </w:tr>
    </w:tbl>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10440"/>
      </w:tblGrid>
      <w:tr>
        <w:trPr/>
        <w:tc>
          <w:tcPr>
            <w:tcW w:w="10440" w:type="dxa"/>
            <w:tcBorders/>
          </w:tcPr>
          <w:p>
            <w:pPr>
              <w:pStyle w:val="Normal"/>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bl>
    <w:p>
      <w:pPr>
        <w:pStyle w:val="Normal"/>
        <w:jc w:val="both"/>
        <w:rPr>
          <w:sz w:val="22"/>
        </w:rPr>
      </w:pPr>
      <w:r>
        <w:rPr>
          <w:sz w:val="22"/>
        </w:rPr>
      </w:r>
    </w:p>
    <w:p>
      <w:pPr>
        <w:pStyle w:val="Normal"/>
        <w:tabs>
          <w:tab w:val="left" w:pos="720" w:leader="none"/>
        </w:tabs>
        <w:jc w:val="both"/>
        <w:rPr>
          <w:sz w:val="22"/>
        </w:rPr>
      </w:pPr>
      <w:r>
        <w:rPr>
          <w:sz w:val="22"/>
        </w:rPr>
        <w:tab/>
        <w:t>This Confirmation is a complete and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Normal"/>
        <w:jc w:val="both"/>
        <w:rPr>
          <w:sz w:val="22"/>
        </w:rPr>
      </w:pPr>
      <w:r>
        <w:rPr>
          <w:sz w:val="22"/>
        </w:rPr>
      </w:r>
    </w:p>
    <w:p>
      <w:pPr>
        <w:pStyle w:val="Normal"/>
        <w:ind w:firstLine="720" w:end="0"/>
        <w:jc w:val="both"/>
        <w:rPr>
          <w:sz w:val="22"/>
        </w:rPr>
      </w:pPr>
      <w:r>
        <w:rPr>
          <w:sz w:val="22"/>
        </w:rPr>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Sincerely,</w:t>
      </w:r>
    </w:p>
    <w:p>
      <w:pPr>
        <w:pStyle w:val="Normal"/>
        <w:rPr>
          <w:sz w:val="22"/>
        </w:rPr>
      </w:pPr>
      <w:r>
        <w:rPr>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Freight Markets</w:t>
            </w:r>
            <w:r>
              <w:rPr>
                <w:sz w:val="22"/>
              </w:rPr>
              <w:fldChar w:fldCharType="end"/>
            </w:r>
          </w:p>
        </w:tc>
        <w:tc>
          <w:tcPr>
            <w:tcW w:w="6012" w:type="dxa"/>
            <w:tcBorders/>
          </w:tcPr>
          <w:p>
            <w:pPr>
              <w:pStyle w:val="Normal"/>
              <w:rPr>
                <w:sz w:val="22"/>
              </w:rPr>
            </w:pPr>
            <w:r>
              <w:rPr>
                <w:sz w:val="22"/>
              </w:rPr>
              <w:t>[                         ]</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428"/>
        <w:gridCol w:w="6012"/>
      </w:tblGrid>
      <w:tr>
        <w:trPr/>
        <w:tc>
          <w:tcPr>
            <w:tcW w:w="4428" w:type="dxa"/>
            <w:tcBorders/>
          </w:tcPr>
          <w:p>
            <w:pPr>
              <w:pStyle w:val="Normal"/>
              <w:rPr>
                <w:sz w:val="22"/>
              </w:rPr>
            </w:pPr>
            <w:r>
              <w:rPr>
                <w:sz w:val="22"/>
              </w:rPr>
              <w:t xml:space="preserve">             </w:t>
            </w:r>
          </w:p>
        </w:tc>
        <w:tc>
          <w:tcPr>
            <w:tcW w:w="6012" w:type="dxa"/>
            <w:tcBorders/>
          </w:tcPr>
          <w:p>
            <w:pPr>
              <w:pStyle w:val="Normal"/>
              <w:snapToGrid w:val="false"/>
              <w:rPr>
                <w:sz w:val="22"/>
              </w:rPr>
            </w:pPr>
            <w:r>
              <w:rPr>
                <w:sz w:val="22"/>
              </w:rPr>
            </w:r>
          </w:p>
        </w:tc>
      </w:tr>
      <w:tr>
        <w:trPr/>
        <w:tc>
          <w:tcPr>
            <w:tcW w:w="4428" w:type="dxa"/>
            <w:tcBorders/>
          </w:tcPr>
          <w:p>
            <w:pPr>
              <w:pStyle w:val="Normal"/>
              <w:rPr>
                <w:sz w:val="22"/>
              </w:rPr>
            </w:pPr>
            <w:r>
              <w:rPr>
                <w:sz w:val="22"/>
              </w:rPr>
              <w:t>By: __________________________</w:t>
            </w:r>
          </w:p>
        </w:tc>
        <w:tc>
          <w:tcPr>
            <w:tcW w:w="6012" w:type="dxa"/>
            <w:tcBorders/>
          </w:tcPr>
          <w:p>
            <w:pPr>
              <w:pStyle w:val="Normal"/>
              <w:rPr>
                <w:sz w:val="22"/>
                <w:u w:val="single"/>
              </w:rPr>
            </w:pPr>
            <w:r>
              <w:rPr>
                <w:sz w:val="22"/>
              </w:rPr>
              <w:t>By: ____________________________</w:t>
            </w:r>
          </w:p>
        </w:tc>
      </w:tr>
      <w:tr>
        <w:trPr/>
        <w:tc>
          <w:tcPr>
            <w:tcW w:w="4428" w:type="dxa"/>
            <w:tcBorders/>
          </w:tcPr>
          <w:p>
            <w:pPr>
              <w:pStyle w:val="Normal"/>
              <w:rPr/>
            </w:pPr>
            <w:r>
              <w:rPr>
                <w:sz w:val="22"/>
              </w:rPr>
              <w:t>Name: _____</w:t>
            </w:r>
            <w:r>
              <w:rPr>
                <w:b/>
              </w:rPr>
              <w:t>DRAFT___________</w:t>
            </w:r>
          </w:p>
        </w:tc>
        <w:tc>
          <w:tcPr>
            <w:tcW w:w="6012" w:type="dxa"/>
            <w:tcBorders/>
          </w:tcPr>
          <w:p>
            <w:pPr>
              <w:pStyle w:val="Normal"/>
              <w:rPr/>
            </w:pPr>
            <w:r>
              <w:rPr>
                <w:sz w:val="22"/>
              </w:rPr>
              <w:t>Name:  ______</w:t>
            </w:r>
            <w:r>
              <w:rPr>
                <w:b/>
              </w:rPr>
              <w:t>DRAFT</w:t>
            </w:r>
            <w:r>
              <w:rPr>
                <w:sz w:val="22"/>
              </w:rPr>
              <w:t>____________</w:t>
            </w:r>
          </w:p>
        </w:tc>
      </w:tr>
      <w:tr>
        <w:trPr/>
        <w:tc>
          <w:tcPr>
            <w:tcW w:w="4428" w:type="dxa"/>
            <w:tcBorders/>
          </w:tcPr>
          <w:p>
            <w:pPr>
              <w:pStyle w:val="Normal"/>
              <w:rPr>
                <w:sz w:val="22"/>
              </w:rPr>
            </w:pPr>
            <w:r>
              <w:rPr>
                <w:sz w:val="22"/>
              </w:rPr>
              <w:t>Title: _________________________</w:t>
            </w:r>
          </w:p>
        </w:tc>
        <w:tc>
          <w:tcPr>
            <w:tcW w:w="6012" w:type="dxa"/>
            <w:tcBorders/>
          </w:tcPr>
          <w:p>
            <w:pPr>
              <w:pStyle w:val="Normal"/>
              <w:rPr>
                <w:sz w:val="22"/>
              </w:rPr>
            </w:pPr>
            <w:r>
              <w:rPr>
                <w:sz w:val="22"/>
              </w:rPr>
              <w:t>Title:  __________________________</w:t>
            </w:r>
          </w:p>
        </w:tc>
      </w:tr>
      <w:tr>
        <w:trPr/>
        <w:tc>
          <w:tcPr>
            <w:tcW w:w="4428" w:type="dxa"/>
            <w:tcBorders/>
          </w:tcPr>
          <w:p>
            <w:pPr>
              <w:pStyle w:val="Normal"/>
              <w:rPr>
                <w:sz w:val="22"/>
              </w:rPr>
            </w:pPr>
            <w:r>
              <w:rPr>
                <w:sz w:val="22"/>
              </w:rPr>
              <w:t xml:space="preserve">Date: </w:t>
            </w:r>
          </w:p>
        </w:tc>
        <w:tc>
          <w:tcPr>
            <w:tcW w:w="6012" w:type="dxa"/>
            <w:tcBorders/>
          </w:tcPr>
          <w:p>
            <w:pPr>
              <w:pStyle w:val="Normal"/>
              <w:rPr>
                <w:sz w:val="22"/>
              </w:rPr>
            </w:pPr>
            <w:r>
              <w:rPr>
                <w:sz w:val="22"/>
              </w:rPr>
              <w:t xml:space="preserve">Date:  </w:t>
            </w:r>
          </w:p>
        </w:tc>
      </w:tr>
    </w:tbl>
    <w:p>
      <w:pPr>
        <w:pStyle w:val="Normal"/>
        <w:rPr>
          <w:b/>
          <w:sz w:val="22"/>
        </w:rPr>
      </w:pPr>
      <w:r>
        <w:rPr>
          <w:b/>
          <w:sz w:val="22"/>
        </w:rPr>
      </w:r>
    </w:p>
    <w:p>
      <w:pPr>
        <w:pStyle w:val="Normal"/>
        <w:rPr>
          <w:b/>
          <w:sz w:val="22"/>
        </w:rPr>
      </w:pPr>
      <w:r>
        <w:rPr>
          <w:b/>
          <w:sz w:val="22"/>
        </w:rPr>
      </w:r>
    </w:p>
    <w:p>
      <w:pPr>
        <w:pStyle w:val="Normal"/>
        <w:jc w:val="both"/>
        <w:rPr/>
      </w:pPr>
      <w:r>
        <w:rPr>
          <w:b/>
          <w:sz w:val="22"/>
        </w:rPr>
        <w:t xml:space="preserve">COUNTERPARTY: AFTER YOU HAVE CONFIRMED TRANSACTION, PLEASE RETURN TO EFM, ATTENTION:  DIRECTOR OF DOCUMENTATION AT FAX NO </w:t>
      </w:r>
      <w:r>
        <w:rPr>
          <w:b/>
          <w:sz w:val="22"/>
        </w:rPr>
        <w:fldChar w:fldCharType="begin"/>
      </w:r>
      <w:r>
        <w:rPr>
          <w:sz w:val="22"/>
          <w:b/>
        </w:rPr>
        <w:instrText xml:space="preserve"> MERGEFIELD EnronFax </w:instrText>
      </w:r>
      <w:r>
        <w:rPr>
          <w:sz w:val="22"/>
          <w:b/>
        </w:rPr>
        <w:fldChar w:fldCharType="separate"/>
      </w:r>
      <w:r>
        <w:rPr>
          <w:sz w:val="22"/>
          <w:b/>
        </w:rPr>
        <w:t>(713) 646-</w:t>
      </w:r>
      <w:r>
        <w:rPr>
          <w:sz w:val="22"/>
          <w:b/>
        </w:rPr>
        <w:fldChar w:fldCharType="end"/>
      </w:r>
      <w:r>
        <w:rPr>
          <w:b/>
          <w:sz w:val="22"/>
        </w:rPr>
        <w:t>XXXX</w:t>
      </w:r>
    </w:p>
    <w:p>
      <w:pPr>
        <w:pStyle w:val="Normal"/>
        <w:rPr>
          <w:b/>
          <w:sz w:val="22"/>
        </w:rPr>
      </w:pPr>
      <w:r>
        <w:rPr>
          <w:b/>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EFM:</w:t>
            </w:r>
          </w:p>
        </w:tc>
        <w:tc>
          <w:tcPr>
            <w:tcW w:w="4932" w:type="dxa"/>
            <w:tcBorders/>
          </w:tcPr>
          <w:p>
            <w:pPr>
              <w:pStyle w:val="Normal"/>
              <w:rPr>
                <w:sz w:val="22"/>
              </w:rPr>
            </w:pPr>
            <w:r>
              <w:rPr>
                <w:b/>
                <w:sz w:val="22"/>
              </w:rPr>
              <w:t>Payment Account Information for EFM:</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pPr>
            <w:r>
              <w:rPr>
                <w:sz w:val="22"/>
              </w:rPr>
              <w:fldChar w:fldCharType="begin"/>
            </w:r>
            <w:r>
              <w:rPr>
                <w:sz w:val="22"/>
              </w:rPr>
              <w:instrText xml:space="preserve"> MERGEFIELD EnronAddr1 </w:instrText>
            </w:r>
            <w:r>
              <w:rPr>
                <w:sz w:val="22"/>
              </w:rPr>
              <w:fldChar w:fldCharType="separate"/>
            </w:r>
            <w:r>
              <w:rPr>
                <w:sz w:val="22"/>
              </w:rPr>
              <w:t xml:space="preserve">PO Box </w:t>
            </w:r>
            <w:r>
              <w:rPr>
                <w:sz w:val="22"/>
              </w:rPr>
              <w:fldChar w:fldCharType="end"/>
            </w:r>
            <w:r>
              <w:rPr>
                <w:sz w:val="22"/>
              </w:rPr>
              <w:t>XXXX</w:t>
            </w:r>
          </w:p>
        </w:tc>
        <w:tc>
          <w:tcPr>
            <w:tcW w:w="4932"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Bank of America, N.A.</w:t>
            </w:r>
            <w:r>
              <w:rPr>
                <w:sz w:val="22"/>
              </w:rPr>
              <w:fldChar w:fldCharType="end"/>
            </w:r>
          </w:p>
        </w:tc>
      </w:tr>
      <w:tr>
        <w:trPr/>
        <w:tc>
          <w:tcPr>
            <w:tcW w:w="5508" w:type="dxa"/>
            <w:tcBorders/>
          </w:tcPr>
          <w:p>
            <w:pPr>
              <w:pStyle w:val="Normal"/>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77210-</w:t>
            </w:r>
            <w:r>
              <w:rPr>
                <w:sz w:val="22"/>
              </w:rPr>
              <w:fldChar w:fldCharType="end"/>
            </w:r>
            <w:r>
              <w:rPr>
                <w:sz w:val="22"/>
              </w:rPr>
              <w:t>XXXX</w:t>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646-XXX</w:t>
            </w:r>
            <w:r>
              <w:rPr>
                <w:sz w:val="22"/>
              </w:rPr>
              <w:fldChar w:fldCharType="end"/>
            </w:r>
            <w:r>
              <w:rPr>
                <w:sz w:val="22"/>
              </w:rPr>
              <w:t>X</w:t>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853-XXXX</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646-XXXX</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cPr>
          <w:p>
            <w:pPr>
              <w:pStyle w:val="Normal"/>
              <w:rPr>
                <w:sz w:val="22"/>
              </w:rPr>
            </w:pPr>
            <w:r>
              <w:rPr>
                <w:b/>
                <w:sz w:val="22"/>
                <w:u w:val="single"/>
              </w:rPr>
              <w:t>Address for Notices to Counterparty:</w:t>
            </w:r>
          </w:p>
        </w:tc>
        <w:tc>
          <w:tcPr>
            <w:tcW w:w="5220" w:type="dxa"/>
            <w:tcBorders/>
          </w:tcPr>
          <w:p>
            <w:pPr>
              <w:pStyle w:val="Normal"/>
              <w:rPr>
                <w:sz w:val="22"/>
              </w:rPr>
            </w:pPr>
            <w:r>
              <w:rPr>
                <w:b/>
                <w:sz w:val="22"/>
                <w:u w:val="single"/>
              </w:rPr>
              <w:t>Payment Account Information for Counterparty:</w:t>
            </w:r>
          </w:p>
        </w:tc>
      </w:tr>
      <w:tr>
        <w:trPr/>
        <w:tc>
          <w:tcPr>
            <w:tcW w:w="5220" w:type="dxa"/>
            <w:tcBorders/>
          </w:tcPr>
          <w:p>
            <w:pPr>
              <w:pStyle w:val="Normal"/>
              <w:snapToGrid w:val="false"/>
              <w:rPr>
                <w:sz w:val="22"/>
              </w:rPr>
            </w:pPr>
            <w:r>
              <w:rPr>
                <w:sz w:val="22"/>
              </w:rPr>
            </w:r>
          </w:p>
        </w:tc>
        <w:tc>
          <w:tcPr>
            <w:tcW w:w="5220" w:type="dxa"/>
            <w:tcBorders/>
          </w:tcPr>
          <w:p>
            <w:pPr>
              <w:pStyle w:val="Normal"/>
              <w:snapToGrid w:val="false"/>
              <w:rPr>
                <w:sz w:val="22"/>
              </w:rPr>
            </w:pPr>
            <w:r>
              <w:rPr>
                <w:sz w:val="22"/>
              </w:rPr>
            </w:r>
          </w:p>
        </w:tc>
      </w:tr>
      <w:tr>
        <w:trPr/>
        <w:tc>
          <w:tcPr>
            <w:tcW w:w="5220" w:type="dxa"/>
            <w:tcBorders/>
          </w:tcPr>
          <w:p>
            <w:pPr>
              <w:pStyle w:val="Normal"/>
              <w:tabs>
                <w:tab w:val="clear" w:pos="720"/>
                <w:tab w:val="left" w:pos="3960" w:leader="none"/>
              </w:tabs>
              <w:rPr>
                <w:sz w:val="22"/>
              </w:rPr>
            </w:pPr>
            <w:r>
              <w:rPr>
                <w:sz w:val="22"/>
              </w:rPr>
              <w:t>Address: 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____________________________________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Attention: 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Fax: ________________________________</w:t>
            </w:r>
          </w:p>
        </w:tc>
        <w:tc>
          <w:tcPr>
            <w:tcW w:w="5220" w:type="dxa"/>
            <w:tcBorders/>
          </w:tcPr>
          <w:p>
            <w:pPr>
              <w:pStyle w:val="Normal"/>
              <w:rPr>
                <w:sz w:val="22"/>
              </w:rPr>
            </w:pPr>
            <w:r>
              <w:rPr>
                <w:sz w:val="22"/>
              </w:rPr>
              <w:t>_________________________________________</w:t>
            </w:r>
          </w:p>
        </w:tc>
      </w:tr>
      <w:tr>
        <w:trPr/>
        <w:tc>
          <w:tcPr>
            <w:tcW w:w="5220" w:type="dxa"/>
            <w:tcBorders/>
          </w:tcPr>
          <w:p>
            <w:pPr>
              <w:pStyle w:val="Normal"/>
              <w:rPr>
                <w:sz w:val="22"/>
              </w:rPr>
            </w:pPr>
            <w:r>
              <w:rPr>
                <w:sz w:val="22"/>
              </w:rPr>
              <w:t>Phone: ______________________________</w:t>
            </w:r>
          </w:p>
        </w:tc>
        <w:tc>
          <w:tcPr>
            <w:tcW w:w="5220" w:type="dxa"/>
            <w:tcBorders/>
          </w:tcPr>
          <w:p>
            <w:pPr>
              <w:pStyle w:val="Normal"/>
              <w:rPr>
                <w:sz w:val="22"/>
              </w:rPr>
            </w:pPr>
            <w:r>
              <w:rPr>
                <w:sz w:val="22"/>
              </w:rPr>
              <w:t>_________________________________________</w:t>
            </w:r>
          </w:p>
        </w:tc>
      </w:tr>
    </w:tbl>
    <w:p>
      <w:pPr>
        <w:pStyle w:val="Normal"/>
        <w:rPr>
          <w:sz w:val="22"/>
        </w:rPr>
      </w:pPr>
      <w:r>
        <w:rPr>
          <w:sz w:val="22"/>
        </w:rPr>
      </w:r>
    </w:p>
    <w:p>
      <w:pPr>
        <w:sectPr>
          <w:headerReference w:type="default" r:id="rId4"/>
          <w:footerReference w:type="default" r:id="rId5"/>
          <w:type w:val="nextPage"/>
          <w:pgSz w:w="12240" w:h="15840"/>
          <w:pgMar w:left="1152" w:right="864" w:gutter="0" w:header="720" w:top="864" w:footer="720" w:bottom="776"/>
          <w:pgNumType w:fmt="decimal"/>
          <w:formProt w:val="false"/>
          <w:textDirection w:val="lrTb"/>
          <w:docGrid w:type="default" w:linePitch="360" w:charSpace="0"/>
        </w:sectPr>
        <w:pStyle w:val="Normal"/>
        <w:rPr>
          <w:b/>
          <w:sz w:val="22"/>
        </w:rPr>
      </w:pPr>
      <w:r>
        <w:rPr>
          <w:b/>
          <w:sz w:val="22"/>
        </w:rPr>
        <w:t>COUNTERPARTY: PLEASE PROVIDE ABOVE REQUESTED INFORMATION IF NOT PROVIDED PREVIOUSLY OR IF CHANGES HAVE OCCURRED</w:t>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 </w:t>
      </w:r>
      <w:r>
        <w:rPr>
          <w:rFonts w:cs="Arial Narrow" w:ascii="Arial Narrow" w:hAnsi="Arial Narrow"/>
          <w:sz w:val="18"/>
          <w:u w:val="single"/>
        </w:rPr>
        <w:t>Absence of Litigation</w:t>
      </w:r>
      <w:r>
        <w:rPr>
          <w:rFonts w:cs="Arial Narrow" w:ascii="Arial Narrow" w:hAnsi="Arial Narrow"/>
          <w:sz w:val="18"/>
        </w:rPr>
        <w:t xml:space="preserve"> there is not pending or, to its knowledge, threatened against it or any of its Affiliates any action, suit or proceeding at law or in equity or before any court, tribunal, governmental body, agency or official or any arbitrator that is likely to affect the legality, validity or enforceability against it of this Confirmation or any Credit Support Document to which it or its Affiliates is a party or its or its Affiliates ability to perform their respective obligations under this Confirmation or such Credit Support Document.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BodyText"/>
        <w:rPr/>
      </w:pPr>
      <w:r>
        <w:rPr/>
        <w:t>For the purposes of the calculations of the Floating Price(s), all numbers shall be rounded as follows:  Floating Price(s) relating to commodities quoted in (i) gallons, shall be rounded to five places, (ii) Mmbtu’s shall be rounded to four places, and (iii) barrels and megawatt hours shall be rounded to three places.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Each payment will be made in the Contractual Currency (specified in the Confirmation or if not specified, in U.S. Dollars)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365/366 days.  If the Payment Dates for two or more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three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ten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(y) the resulting entity fails to assume all of the obligations of the Defaulting Party under this Confirmation or (z) the resulting entity’s creditworthiness is materially weaker than that of the Defaulting Party; or (f) an event of default occurs (howsoever determined) under any other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Transactions with respect to all Payment Dates which would have occurred after the Early Termination Date had the Early Termination Date not occurred.  The non-defaulting party shall aggregate such Gains, Losses and Costs with respect to all Transactions into a single net  amount and notify the Defaulting Party of the net amount owed or owing.  If the non-defaulting party's aggregate Losses and Costs exceed its aggregate Gains, the Defaulting Party shall, within five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subject to the provisions of Section 5 herein,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the non-defaulting party shall be entitled, at its option and in its discretion, to set-off against any amounts owed to the Defaulting Party by the non-defaulting party or any of its Affiliates under this Confirmation or otherwise any amounts payable by the Defaulting Party to the non-defaulting party or any of its Affiliates under this Confirmation or otherwise.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all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This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except for any assignments by a party to an Affiliate of such party (y) who is in the same tax jurisdiction as such party and (z) whose creditworthiness is not materially weaker than that of such party,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Commercial Arbitration Rules of the American Arbitration Association (“AAA”) and governed by the Federal Arbitration Act (“FAA”).  Each party shall select one arbitrator within 30 days of a notice for arbitration and the two arbitrators shall select a third neutral arbitrator with at least eight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The contents of this Confirmation and all other documents relating to this Confirmation or Annex B, if any, and any information made available by one party or its Credit Support Provider, if any, to the other party or its Credit Support Provider, if any, with respect to this Confirmation is confidential and shall not be disclosed to any third party (nor shall any public announcement be made by either party), except for such information (1) as may become generally available to the public, (2) as may be required or appropriate in response to any summons, subpoena, or otherwise in connection with any litigation or to comply with any applicable law, order, regulation, ruling or accounting disclosure rule or standard, (3) as may be obtained from a non-confidential source that disclosed such information in a manner that did not violate its obligations to the non-disclosing party or its Credit Support Provider, if any, in making such disclosure, or (4) as may be furnished to the disclosing party's Affiliates, and to each of such person’s auditors, attorneys, advisors or lenders which are required to keep the information that is disclosed in confidence.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If any term, provision, covenant, or condition of this Confirmation, or the application thereof to any party or circumstance, shall be held to be invalid or unenforceable (in whole or in part) for any reason, the remaining terms, provisions, covenants, and conditions hereof shall continue in full force and effect as if this Confirmation had been executed with the invalid or unenforceable portion eliminated, so long as this Confirmation as so modified continues to express, without material change, the original intentions of the parties as to the subject matter of this Confirmation and the deletion of such portion of this Confirmation will not substantially impair the respective benefits or expectations of the parties to this Confirmation;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that this severability provision shall not be applicable if any provision of Section 2, 3 or 4 (or any definition or provision in Section 8 to the extent it relates to, or is used in or in connection with any such Section) shall be so held to be invalid or unenforceable.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Annex B attached hereto, if any or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iCs/>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Floor Amount</w:t>
      </w:r>
      <w:r>
        <w:rPr>
          <w:rFonts w:cs="Arial Narrow" w:ascii="Arial Narrow" w:hAnsi="Arial Narrow"/>
          <w:sz w:val="18"/>
        </w:rPr>
        <w:t>” means an amount equal to the product of (a) the Notional Quantity per Determination Period multiplied by (b) the Floor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Option</w:t>
      </w:r>
      <w:r>
        <w:rPr>
          <w:rFonts w:cs="Arial Narrow" w:ascii="Arial Narrow" w:hAnsi="Arial Narrow"/>
          <w:sz w:val="18"/>
        </w:rPr>
        <w:t>" means a Transaction that is a Call, Cap, Floor, Put, Swaption or is identified in the relevant Confirmation as an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sz w:val="18"/>
        </w:rPr>
        <w:t>" means all swap, option or other financially-settled derivative transactions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p>
      <w:pPr>
        <w:pStyle w:val="Normal"/>
        <w:jc w:val="end"/>
        <w:rPr>
          <w:rFonts w:ascii="Arial Narrow" w:hAnsi="Arial Narrow" w:cs="Arial Narrow"/>
          <w:sz w:val="18"/>
        </w:rPr>
      </w:pPr>
      <w:r>
        <w:rPr>
          <w:rFonts w:cs="Arial Narrow" w:ascii="Arial Narrow" w:hAnsi="Arial Narrow"/>
          <w:sz w:val="18"/>
        </w:rPr>
      </w:r>
    </w:p>
    <w:p>
      <w:pPr>
        <w:pStyle w:val="Normal"/>
        <w:rPr>
          <w:sz w:val="22"/>
        </w:rPr>
      </w:pPr>
      <w:r>
        <w:rPr>
          <w:sz w:val="22"/>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cols w:num="2" w:space="708"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52.6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4</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1</w:t>
    </w:r>
    <w:r>
      <w:rPr>
        <w:rStyle w:val="PageNumber"/>
        <w:sz w:val="18"/>
        <w:rFonts w:cs="Arial Narrow" w:ascii="Arial Narrow" w:hAnsi="Arial Narrow"/>
      </w:rPr>
      <w:fldChar w:fldCharType="end"/>
    </w:r>
    <w:r>
      <w:rPr>
        <w:rStyle w:val="PageNumber"/>
        <w:rFonts w:cs="Arial Narrow" w:ascii="Arial Narrow" w:hAnsi="Arial Narrow"/>
        <w:sz w:val="18"/>
      </w:rPr>
      <w:t xml:space="preserve"> of 4</w:t>
    </w:r>
  </w:p>
  <w:p>
    <w:pPr>
      <w:pStyle w:val="Footer"/>
      <w:jc w:val="center"/>
      <w:rPr/>
    </w:pPr>
    <w:r>
      <w:rPr>
        <w:rStyle w:val="PageNumber"/>
        <w:rFonts w:cs="Arial Narrow" w:ascii="Arial Narrow" w:hAnsi="Arial Narrow"/>
        <w:sz w:val="18"/>
      </w:rPr>
      <w:t>Annex A</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7200" w:leader="none"/>
      </w:tabs>
      <w:jc w:val="center"/>
      <w:rPr>
        <w:b/>
        <w:sz w:val="22"/>
      </w:rPr>
    </w:pPr>
    <w:r>
      <w:rPr>
        <w:b/>
        <w:sz w:val="22"/>
      </w:rPr>
      <w:t>DRAFT</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6"/>
        <w:u w:val="single"/>
      </w:rPr>
    </w:pPr>
    <w:r>
      <w:rPr>
        <w:rFonts w:cs="Arial Narrow" w:ascii="Arial Narrow" w:hAnsi="Arial Narrow"/>
        <w:b/>
        <w:sz w:val="16"/>
        <w:u w:val="single"/>
      </w:rPr>
      <w:t>ENA/U.S. Counterparty</w:t>
    </w:r>
  </w:p>
  <w:p>
    <w:pPr>
      <w:pStyle w:val="Header"/>
      <w:jc w:val="end"/>
      <w:rPr>
        <w:rFonts w:ascii="Arial Narrow" w:hAnsi="Arial Narrow" w:cs="Arial Narrow"/>
        <w:b/>
        <w:sz w:val="16"/>
        <w:u w:val="single"/>
      </w:rPr>
    </w:pPr>
    <w:r>
      <w:rPr>
        <w:rFonts w:cs="Arial Narrow" w:ascii="Arial Narrow" w:hAnsi="Arial Narrow"/>
        <w:b/>
        <w:sz w:val="16"/>
        <w:u w:val="single"/>
      </w:rPr>
      <w:t>Revision of 03/02/00</w:t>
    </w:r>
  </w:p>
  <w:p>
    <w:pPr>
      <w:pStyle w:val="Header"/>
      <w:jc w:val="center"/>
      <w:rPr>
        <w:rFonts w:ascii="Arial Narrow" w:hAnsi="Arial Narrow" w:cs="Arial Narrow"/>
        <w:b/>
        <w:sz w:val="18"/>
      </w:rPr>
    </w:pPr>
    <w:r>
      <w:rPr>
        <w:rFonts w:cs="Arial Narrow" w:ascii="Arial Narrow" w:hAnsi="Arial Narrow"/>
        <w:b/>
        <w:sz w:val="18"/>
        <w:u w:val="single"/>
      </w:rPr>
      <w:t>ANNEX A</w:t>
    </w:r>
  </w:p>
  <w:p>
    <w:pPr>
      <w:pStyle w:val="Header"/>
      <w:jc w:val="center"/>
      <w:rPr>
        <w:rFonts w:ascii="Arial Narrow" w:hAnsi="Arial Narrow" w:cs="Arial Narrow"/>
        <w:b/>
        <w:sz w:val="18"/>
      </w:rPr>
    </w:pPr>
    <w:r>
      <w:rPr>
        <w:rFonts w:cs="Arial Narrow" w:ascii="Arial Narrow" w:hAnsi="Arial Narrow"/>
        <w:b/>
        <w:sz w:val="18"/>
      </w:rPr>
    </w:r>
  </w:p>
  <w:p>
    <w:pPr>
      <w:pStyle w:val="Header"/>
      <w:jc w:val="center"/>
      <w:rPr>
        <w:rFonts w:ascii="Arial Narrow" w:hAnsi="Arial Narrow" w:cs="Arial Narrow"/>
        <w:b/>
        <w:sz w:val="18"/>
      </w:rPr>
    </w:pPr>
    <w:r>
      <w:rPr>
        <w:rFonts w:cs="Arial Narrow" w:ascii="Arial Narrow" w:hAnsi="Arial Narrow"/>
        <w:b/>
        <w:sz w:val="18"/>
      </w:rPr>
      <w:t>GENERAL TERMS AND CONDITIONS</w:t>
    </w:r>
  </w:p>
  <w:p>
    <w:pPr>
      <w:pStyle w:val="Header"/>
      <w:jc w:val="center"/>
      <w:rPr>
        <w:rFonts w:ascii="Arial Narrow" w:hAnsi="Arial Narrow" w:cs="Arial Narrow"/>
        <w:b/>
        <w:sz w:val="18"/>
      </w:rPr>
    </w:pPr>
    <w:r>
      <w:rPr>
        <w:rFonts w:cs="Arial Narrow" w:ascii="Arial Narrow" w:hAnsi="Arial Narrow"/>
        <w:b/>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jc w:val="both"/>
      <w:outlineLvl w:val="1"/>
    </w:pPr>
    <w:rPr>
      <w:b/>
      <w:bCs/>
      <w:i/>
      <w:iCs/>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b/>
      <w:bCs/>
      <w:i/>
      <w:i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clear" w:pos="720"/>
        <w:tab w:val="left" w:pos="180" w:leader="none"/>
        <w:tab w:val="left" w:pos="1170" w:leader="none"/>
      </w:tabs>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eia.doe.gov/pub/oil_gas/petroleum/data_publications/weekly_on_highway_diesel_prices/current/html/diesel.htm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2001-07-12T21:08:00Z</dcterms:created>
  <dc:creator>ECT</dc:creator>
  <dc:description/>
  <dc:language>en-CA</dc:language>
  <cp:lastModifiedBy>dmccaff</cp:lastModifiedBy>
  <cp:lastPrinted>2001-07-16T14:46:00Z</cp:lastPrinted>
  <dcterms:modified xsi:type="dcterms:W3CDTF">2001-07-16T17:17:00Z</dcterms:modified>
  <cp:revision>10</cp:revision>
  <dc:subject>Public Service Electric and Gas Company</dc:subject>
  <dc:title>N53230.2</dc:title>
</cp:coreProperties>
</file>