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Fax (713) 646-4618</w:t>
            </w:r>
          </w:p>
        </w:tc>
      </w:tr>
    </w:tbl>
    <w:p>
      <w:pPr>
        <w:pStyle w:val="Normal"/>
        <w:rPr>
          <w:sz w:val="22"/>
        </w:rPr>
      </w:pPr>
      <w:r>
        <w:rPr>
          <w:sz w:val="22"/>
        </w:rPr>
        <w:tab/>
        <w:tab/>
        <w:tab/>
        <w:tab/>
        <w:tab/>
      </w:r>
    </w:p>
    <w:p>
      <w:pPr>
        <w:pStyle w:val="Normal"/>
        <w:jc w:val="center"/>
        <w:rPr>
          <w:b/>
          <w:sz w:val="22"/>
          <w:u w:val="single"/>
        </w:rPr>
      </w:pPr>
      <w:r>
        <w:rPr>
          <w:b/>
          <w:sz w:val="22"/>
          <w:u w:val="single"/>
        </w:rPr>
        <w:t>CONFIRMATION</w:t>
      </w:r>
    </w:p>
    <w:p>
      <w:pPr>
        <w:pStyle w:val="Normal"/>
        <w:jc w:val="center"/>
        <w:rPr>
          <w:sz w:val="22"/>
        </w:rPr>
      </w:pPr>
      <w:r>
        <w:rPr>
          <w:sz w:val="22"/>
        </w:rPr>
        <w:t>Cap</w:t>
      </w:r>
    </w:p>
    <w:p>
      <w:pPr>
        <w:pStyle w:val="Normal"/>
        <w:rPr>
          <w:sz w:val="22"/>
        </w:rPr>
      </w:pPr>
      <w:r>
        <w:rPr>
          <w:sz w:val="22"/>
        </w:rPr>
      </w:r>
    </w:p>
    <w:p>
      <w:pPr>
        <w:pStyle w:val="Normal"/>
        <w:rPr>
          <w:sz w:val="22"/>
        </w:rPr>
      </w:pPr>
      <w:r>
        <w:rPr>
          <w:sz w:val="22"/>
        </w:rPr>
        <w:t>Date:</w:t>
        <w:tab/>
        <w:tab/>
        <w:t>[     ]</w:t>
      </w:r>
    </w:p>
    <w:p>
      <w:pPr>
        <w:pStyle w:val="Normal"/>
        <w:rPr>
          <w:sz w:val="22"/>
        </w:rPr>
      </w:pPr>
      <w:r>
        <w:rPr>
          <w:sz w:val="22"/>
        </w:rPr>
        <w:t>To:</w:t>
        <w:tab/>
        <w:tab/>
        <w:t>[Counterparty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Cap Option</w:t>
      </w:r>
    </w:p>
    <w:p>
      <w:pPr>
        <w:pStyle w:val="Normal"/>
        <w:rPr>
          <w:sz w:val="22"/>
        </w:rPr>
      </w:pPr>
      <w:r>
        <w:rPr>
          <w:sz w:val="22"/>
        </w:rPr>
        <w:t xml:space="preserve">Contract No.: </w:t>
        <w:tab/>
        <w:t>[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rPr>
          <w:sz w:val="22"/>
        </w:rPr>
      </w:pPr>
      <w:r>
        <w:rPr>
          <w:sz w:val="22"/>
        </w:rPr>
      </w:r>
    </w:p>
    <w:p>
      <w:pPr>
        <w:pStyle w:val="Normal"/>
        <w:jc w:val="both"/>
        <w:rPr>
          <w:sz w:val="22"/>
        </w:rPr>
      </w:pPr>
      <w:r>
        <w:rPr>
          <w:sz w:val="22"/>
        </w:rPr>
        <w:tab/>
        <w:t>1.  This Confirmation supplements, forms part of, and is subject to, the ISDA Master Agreement dated as of [      ], as amended and supplemented from time to time (the "Agreement"), between you and us.  All provisions contained in the Agreement govern this Confirmation except as expressly modified below.</w:t>
      </w:r>
    </w:p>
    <w:p>
      <w:pPr>
        <w:pStyle w:val="Normal"/>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rPr>
          <w:sz w:val="22"/>
        </w:rPr>
      </w:pPr>
      <w:r>
        <w:rPr>
          <w:sz w:val="22"/>
        </w:rPr>
        <w:t>Option Type:</w:t>
        <w:tab/>
        <w:tab/>
        <w:tab/>
        <w:tab/>
        <w:t>Cap</w:t>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jc w:val="both"/>
              <w:rPr>
                <w:sz w:val="22"/>
              </w:rPr>
            </w:pPr>
            <w:r>
              <w:rPr>
                <w:sz w:val="22"/>
              </w:rPr>
              <w:t>Notional Quantity per</w:t>
            </w:r>
          </w:p>
          <w:p>
            <w:pPr>
              <w:pStyle w:val="Normal"/>
              <w:jc w:val="both"/>
              <w:rPr>
                <w:sz w:val="22"/>
              </w:rPr>
            </w:pPr>
            <w:r>
              <w:rPr>
                <w:sz w:val="22"/>
              </w:rPr>
              <w:t>Calculation Period:</w:t>
            </w:r>
          </w:p>
        </w:tc>
        <w:tc>
          <w:tcPr>
            <w:tcW w:w="5958"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           ] MMBtu multiplied by the number of days in the relevant Calculation Period</w:t>
            </w:r>
            <w:r>
              <w:rPr>
                <w:sz w:val="22"/>
              </w:rPr>
              <w:fldChar w:fldCharType="end"/>
            </w:r>
          </w:p>
        </w:tc>
      </w:tr>
    </w:tbl>
    <w:p>
      <w:pPr>
        <w:pStyle w:val="Normal"/>
        <w:jc w:val="both"/>
        <w:rPr>
          <w:sz w:val="22"/>
        </w:rPr>
      </w:pPr>
      <w:r>
        <w:rPr>
          <w:sz w:val="22"/>
        </w:rPr>
      </w:r>
    </w:p>
    <w:p>
      <w:pPr>
        <w:pStyle w:val="Normal"/>
        <w:jc w:val="both"/>
        <w:rPr/>
      </w:pPr>
      <w:r>
        <w:rPr>
          <w:sz w:val="22"/>
        </w:rPr>
        <w:t>Commodity:</w:t>
        <w:tab/>
        <w:tab/>
        <w:tab/>
        <w:tab/>
        <w:t>[</w:t>
      </w: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w:t>
      </w:r>
    </w:p>
    <w:p>
      <w:pPr>
        <w:pStyle w:val="Normal"/>
        <w:jc w:val="both"/>
        <w:rPr>
          <w:sz w:val="22"/>
        </w:rPr>
      </w:pPr>
      <w:r>
        <w:rPr>
          <w:sz w:val="22"/>
        </w:rPr>
      </w:r>
    </w:p>
    <w:p>
      <w:pPr>
        <w:pStyle w:val="Normal"/>
        <w:jc w:val="both"/>
        <w:rPr>
          <w:sz w:val="22"/>
        </w:rPr>
      </w:pPr>
      <w:r>
        <w:rPr>
          <w:sz w:val="22"/>
        </w:rPr>
        <w:t>Commodity Unit:</w:t>
        <w:tab/>
        <w:tab/>
        <w:tab/>
        <w:t>MMBtu (One Million British Thermal Units)</w:t>
      </w:r>
    </w:p>
    <w:p>
      <w:pPr>
        <w:pStyle w:val="Normal"/>
        <w:jc w:val="both"/>
        <w:rPr>
          <w:sz w:val="22"/>
        </w:rPr>
      </w:pPr>
      <w:r>
        <w:rPr>
          <w:sz w:val="22"/>
        </w:rPr>
      </w:r>
    </w:p>
    <w:p>
      <w:pPr>
        <w:pStyle w:val="Normal"/>
        <w:jc w:val="both"/>
        <w:rPr>
          <w:sz w:val="22"/>
        </w:rPr>
      </w:pPr>
      <w:r>
        <w:rPr>
          <w:sz w:val="22"/>
        </w:rPr>
        <w:t>Trade Date:</w:t>
        <w:tab/>
        <w:tab/>
        <w:tab/>
        <w:tab/>
        <w:t>[             ]</w:t>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jc w:val="both"/>
              <w:rPr>
                <w:sz w:val="22"/>
              </w:rPr>
            </w:pPr>
            <w:r>
              <w:rPr>
                <w:sz w:val="22"/>
              </w:rPr>
              <w:t>Calculation Period(s):</w:t>
            </w:r>
          </w:p>
        </w:tc>
        <w:tc>
          <w:tcPr>
            <w:tcW w:w="5958"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Monthly periods, with the first Calculation Period commencing on [           ] and the final Calculation Period ending on [            ]</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jc w:val="both"/>
              <w:rPr>
                <w:sz w:val="22"/>
              </w:rPr>
            </w:pPr>
            <w:r>
              <w:rPr>
                <w:sz w:val="22"/>
              </w:rPr>
              <w:t>Payment Dates(s):</w:t>
            </w:r>
          </w:p>
        </w:tc>
        <w:tc>
          <w:tcPr>
            <w:tcW w:w="5958"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Premium Payment Details:</w:t>
        <w:tab/>
        <w:tab/>
        <w:t xml:space="preserve">On or before [             ], </w:t>
      </w: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r>
        <w:rPr>
          <w:sz w:val="22"/>
        </w:rPr>
        <w:t xml:space="preserve"> shall pay </w:t>
      </w:r>
    </w:p>
    <w:p>
      <w:pPr>
        <w:pStyle w:val="Normal"/>
        <w:jc w:val="both"/>
        <w:rPr>
          <w:sz w:val="22"/>
        </w:rPr>
      </w:pPr>
      <w:r>
        <w:rPr>
          <w:sz w:val="22"/>
        </w:rPr>
        <w:tab/>
        <w:tab/>
        <w:tab/>
        <w:tab/>
        <w:tab/>
      </w: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r>
        <w:rPr>
          <w:sz w:val="22"/>
        </w:rPr>
        <w:t xml:space="preserve"> </w:t>
      </w:r>
      <w:r>
        <w:rPr>
          <w:sz w:val="22"/>
        </w:rPr>
        <w:fldChar w:fldCharType="begin"/>
      </w:r>
      <w:r>
        <w:rPr>
          <w:sz w:val="22"/>
        </w:rPr>
        <w:instrText xml:space="preserve"> MERGEFIELD OptionPremiumAmt </w:instrText>
      </w:r>
      <w:r>
        <w:rPr>
          <w:sz w:val="22"/>
        </w:rPr>
        <w:fldChar w:fldCharType="separate"/>
      </w:r>
      <w:r>
        <w:rPr>
          <w:sz w:val="22"/>
        </w:rPr>
        <w:t>U.S. Dollars $[          ]</w:t>
      </w:r>
      <w:r>
        <w:rPr>
          <w:sz w:val="22"/>
        </w:rPr>
        <w:fldChar w:fldCharType="end"/>
      </w:r>
    </w:p>
    <w:p>
      <w:pPr>
        <w:pStyle w:val="Normal"/>
        <w:rPr>
          <w:sz w:val="22"/>
        </w:rPr>
      </w:pPr>
      <w:r>
        <w:rPr>
          <w:sz w:val="22"/>
        </w:rPr>
      </w:r>
    </w:p>
    <w:p>
      <w:pPr>
        <w:pStyle w:val="Normal"/>
        <w:rPr>
          <w:sz w:val="22"/>
        </w:rPr>
      </w:pPr>
      <w:r>
        <w:rPr>
          <w:sz w:val="22"/>
        </w:rPr>
      </w:r>
    </w:p>
    <w:p>
      <w:pPr>
        <w:pStyle w:val="Normal"/>
        <w:jc w:val="both"/>
        <w:rPr>
          <w:sz w:val="22"/>
        </w:rPr>
      </w:pPr>
      <w:r>
        <w:rPr>
          <w:sz w:val="22"/>
        </w:rPr>
        <w:t>Buyer:</w:t>
        <w:tab/>
        <w:tab/>
        <w:tab/>
        <w:tab/>
        <w:tab/>
      </w:r>
      <w:r>
        <w:rPr>
          <w:sz w:val="22"/>
        </w:rPr>
        <w:fldChar w:fldCharType="begin"/>
      </w:r>
      <w:r>
        <w:rPr>
          <w:sz w:val="22"/>
        </w:rPr>
        <w:instrText xml:space="preserve"> MERGEFIELD StrikePayerWCode </w:instrText>
      </w:r>
      <w:r>
        <w:rPr>
          <w:sz w:val="22"/>
        </w:rPr>
        <w:fldChar w:fldCharType="separate"/>
      </w:r>
      <w:r>
        <w:rPr>
          <w:sz w:val="22"/>
        </w:rPr>
        <w:t>Party B</w:t>
      </w:r>
      <w:r>
        <w:rPr>
          <w:sz w:val="22"/>
        </w:rPr>
        <w:fldChar w:fldCharType="end"/>
      </w:r>
    </w:p>
    <w:p>
      <w:pPr>
        <w:pStyle w:val="Normal"/>
        <w:jc w:val="both"/>
        <w:rPr>
          <w:sz w:val="22"/>
        </w:rPr>
      </w:pPr>
      <w:r>
        <w:rPr>
          <w:sz w:val="22"/>
        </w:rPr>
        <w:t>(Fixed Price Payer)</w:t>
      </w:r>
    </w:p>
    <w:p>
      <w:pPr>
        <w:pStyle w:val="Normal"/>
        <w:jc w:val="both"/>
        <w:rPr>
          <w:sz w:val="22"/>
        </w:rPr>
      </w:pPr>
      <w:r>
        <w:rPr>
          <w:sz w:val="22"/>
        </w:rPr>
        <w:tab/>
        <w:tab/>
        <w:tab/>
        <w:tab/>
      </w:r>
    </w:p>
    <w:p>
      <w:pPr>
        <w:pStyle w:val="Normal"/>
        <w:jc w:val="both"/>
        <w:rPr>
          <w:sz w:val="22"/>
        </w:rPr>
      </w:pPr>
      <w:r>
        <w:rPr>
          <w:sz w:val="22"/>
        </w:rPr>
        <w:t>Seller:</w:t>
        <w:tab/>
        <w:tab/>
        <w:tab/>
        <w:tab/>
        <w:tab/>
      </w:r>
      <w:r>
        <w:rPr>
          <w:sz w:val="22"/>
        </w:rPr>
        <w:fldChar w:fldCharType="begin"/>
      </w:r>
      <w:r>
        <w:rPr>
          <w:sz w:val="22"/>
        </w:rPr>
        <w:instrText xml:space="preserve"> MERGEFIELD FloatingPayerWCode </w:instrText>
      </w:r>
      <w:r>
        <w:rPr>
          <w:sz w:val="22"/>
        </w:rPr>
        <w:fldChar w:fldCharType="separate"/>
      </w:r>
      <w:r>
        <w:rPr>
          <w:sz w:val="22"/>
        </w:rPr>
        <w:t>Party A</w:t>
      </w:r>
      <w:r>
        <w:rPr>
          <w:sz w:val="22"/>
        </w:rPr>
        <w:fldChar w:fldCharType="end"/>
      </w:r>
    </w:p>
    <w:p>
      <w:pPr>
        <w:pStyle w:val="Normal"/>
        <w:jc w:val="both"/>
        <w:rPr>
          <w:sz w:val="22"/>
        </w:rPr>
      </w:pPr>
      <w:r>
        <w:rPr>
          <w:sz w:val="22"/>
        </w:rPr>
        <w:t>(Floating Price Payer)</w:t>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708"/>
        <w:gridCol w:w="5868"/>
      </w:tblGrid>
      <w:tr>
        <w:trPr/>
        <w:tc>
          <w:tcPr>
            <w:tcW w:w="3708" w:type="dxa"/>
            <w:tcBorders/>
          </w:tcPr>
          <w:p>
            <w:pPr>
              <w:pStyle w:val="Normal"/>
              <w:jc w:val="both"/>
              <w:rPr/>
            </w:pPr>
            <w:r>
              <w:rPr>
                <w:sz w:val="22"/>
              </w:rPr>
              <w:fldChar w:fldCharType="begin"/>
            </w:r>
            <w:r>
              <w:rPr>
                <w:sz w:val="22"/>
              </w:rPr>
              <w:instrText xml:space="preserve"> MERGEFIELD ISDAOptCapFloor </w:instrText>
            </w:r>
            <w:r>
              <w:rPr>
                <w:sz w:val="22"/>
              </w:rPr>
              <w:fldChar w:fldCharType="separate"/>
            </w:r>
            <w:r>
              <w:rPr>
                <w:sz w:val="22"/>
              </w:rPr>
              <w:t>Cap</w:t>
            </w:r>
            <w:r>
              <w:rPr>
                <w:sz w:val="22"/>
              </w:rPr>
              <w:fldChar w:fldCharType="end"/>
            </w:r>
            <w:r>
              <w:rPr>
                <w:sz w:val="22"/>
              </w:rPr>
              <w:t xml:space="preserve"> </w:t>
            </w:r>
            <w:r>
              <w:rPr>
                <w:sz w:val="22"/>
              </w:rPr>
              <w:t>Price:</w:t>
            </w:r>
          </w:p>
          <w:p>
            <w:pPr>
              <w:pStyle w:val="Normal"/>
              <w:jc w:val="both"/>
              <w:rPr>
                <w:sz w:val="22"/>
              </w:rPr>
            </w:pPr>
            <w:r>
              <w:rPr>
                <w:sz w:val="22"/>
              </w:rPr>
              <w:t>(Strike Price)</w:t>
            </w:r>
          </w:p>
        </w:tc>
        <w:tc>
          <w:tcPr>
            <w:tcW w:w="5868" w:type="dxa"/>
            <w:tcBorders/>
          </w:tcPr>
          <w:p>
            <w:pPr>
              <w:pStyle w:val="Normal"/>
              <w:ind w:start="-108" w:end="0"/>
              <w:jc w:val="both"/>
              <w:rPr>
                <w:sz w:val="22"/>
              </w:rPr>
            </w:pPr>
            <w:r>
              <w:rPr>
                <w:sz w:val="22"/>
              </w:rPr>
              <w:fldChar w:fldCharType="begin"/>
            </w:r>
            <w:r>
              <w:rPr>
                <w:sz w:val="22"/>
              </w:rPr>
              <w:instrText xml:space="preserve"> MERGEFIELD FixedPrice </w:instrText>
            </w:r>
            <w:r>
              <w:rPr>
                <w:sz w:val="22"/>
              </w:rPr>
              <w:fldChar w:fldCharType="separate"/>
            </w:r>
            <w:r>
              <w:rPr>
                <w:sz w:val="22"/>
              </w:rPr>
              <w:t>U.S. Dollars $[                ] per MMBtu</w:t>
            </w:r>
            <w:r>
              <w:rPr>
                <w:sz w:val="22"/>
              </w:rPr>
              <w:fldChar w:fldCharType="end"/>
            </w:r>
          </w:p>
        </w:tc>
      </w:tr>
    </w:tbl>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cPr>
          <w:p>
            <w:pPr>
              <w:pStyle w:val="Normal"/>
              <w:jc w:val="both"/>
              <w:rPr>
                <w:sz w:val="22"/>
              </w:rPr>
            </w:pPr>
            <w:r>
              <w:rPr>
                <w:sz w:val="22"/>
              </w:rPr>
              <w:t>Floating Price and</w:t>
            </w:r>
          </w:p>
          <w:p>
            <w:pPr>
              <w:pStyle w:val="Normal"/>
              <w:jc w:val="both"/>
              <w:rPr>
                <w:sz w:val="22"/>
              </w:rPr>
            </w:pPr>
            <w:r>
              <w:rPr>
                <w:sz w:val="22"/>
              </w:rPr>
              <w:t>Pricing Date(s):</w:t>
            </w:r>
          </w:p>
        </w:tc>
        <w:tc>
          <w:tcPr>
            <w:tcW w:w="5958" w:type="dxa"/>
            <w:tcBorders/>
          </w:tcPr>
          <w:p>
            <w:pPr>
              <w:pStyle w:val="Normal"/>
              <w:jc w:val="both"/>
              <w:rPr>
                <w:sz w:val="22"/>
              </w:rPr>
            </w:pPr>
            <w:r>
              <w:rPr>
                <w:sz w:val="22"/>
              </w:rPr>
              <w:t>TBA</w:t>
            </w:r>
          </w:p>
        </w:tc>
      </w:tr>
      <w:tr>
        <w:trPr/>
        <w:tc>
          <w:tcPr>
            <w:tcW w:w="3618" w:type="dxa"/>
            <w:tcBorders/>
          </w:tcPr>
          <w:p>
            <w:pPr>
              <w:pStyle w:val="Normal"/>
              <w:snapToGrid w:val="false"/>
              <w:jc w:val="both"/>
              <w:rPr>
                <w:sz w:val="22"/>
              </w:rPr>
            </w:pPr>
            <w:r>
              <w:rPr>
                <w:sz w:val="22"/>
              </w:rPr>
            </w:r>
          </w:p>
          <w:p>
            <w:pPr>
              <w:pStyle w:val="Normal"/>
              <w:jc w:val="both"/>
              <w:rPr>
                <w:sz w:val="22"/>
              </w:rPr>
            </w:pPr>
            <w:r>
              <w:rPr>
                <w:sz w:val="22"/>
              </w:rPr>
              <w:t>Delivery Dates(s):</w:t>
            </w:r>
          </w:p>
        </w:tc>
        <w:tc>
          <w:tcPr>
            <w:tcW w:w="5958" w:type="dxa"/>
            <w:tcBorders/>
          </w:tcPr>
          <w:p>
            <w:pPr>
              <w:pStyle w:val="Normal"/>
              <w:snapToGrid w:val="false"/>
              <w:jc w:val="both"/>
              <w:rPr>
                <w:sz w:val="22"/>
              </w:rPr>
            </w:pPr>
            <w:r>
              <w:rPr>
                <w:sz w:val="22"/>
              </w:rPr>
            </w:r>
          </w:p>
          <w:p>
            <w:pPr>
              <w:pStyle w:val="Normal"/>
              <w:jc w:val="both"/>
              <w:rPr>
                <w:sz w:val="22"/>
              </w:rPr>
            </w:pPr>
            <w:r>
              <w:rPr>
                <w:sz w:val="22"/>
              </w:rPr>
              <w:t>Monthly periods, commencing with the first Calculation Period and ending with the final Calculation Period</w:t>
            </w:r>
          </w:p>
        </w:tc>
      </w:tr>
      <w:tr>
        <w:trPr/>
        <w:tc>
          <w:tcPr>
            <w:tcW w:w="3618" w:type="dxa"/>
            <w:tcBorders/>
          </w:tcPr>
          <w:p>
            <w:pPr>
              <w:pStyle w:val="Normal"/>
              <w:jc w:val="both"/>
              <w:rPr>
                <w:sz w:val="22"/>
              </w:rPr>
            </w:pPr>
            <w:r>
              <w:rPr>
                <w:sz w:val="22"/>
              </w:rPr>
              <w:fldChar w:fldCharType="begin"/>
            </w:r>
            <w:r>
              <w:rPr>
                <w:sz w:val="22"/>
              </w:rPr>
              <w:instrText xml:space="preserve"> MERGEFIELD MasterSettlementLit </w:instrText>
            </w:r>
            <w:r>
              <w:rPr>
                <w:sz w:val="22"/>
              </w:rPr>
              <w:fldChar w:fldCharType="separate"/>
            </w:r>
            <w:r>
              <w:rPr>
                <w:sz w:val="22"/>
              </w:rPr>
              <w:t xml:space="preserve"> </w:t>
            </w:r>
            <w:r>
              <w:rPr>
                <w:sz w:val="22"/>
              </w:rPr>
              <w:fldChar w:fldCharType="end"/>
            </w:r>
          </w:p>
        </w:tc>
        <w:tc>
          <w:tcPr>
            <w:tcW w:w="5958" w:type="dxa"/>
            <w:tcBorders/>
          </w:tcPr>
          <w:p>
            <w:pPr>
              <w:pStyle w:val="Normal"/>
              <w:jc w:val="both"/>
              <w:rPr>
                <w:sz w:val="22"/>
              </w:rPr>
            </w:pPr>
            <w:r>
              <w:rPr>
                <w:sz w:val="22"/>
              </w:rPr>
              <w:fldChar w:fldCharType="begin"/>
            </w:r>
            <w:r>
              <w:rPr>
                <w:sz w:val="22"/>
              </w:rPr>
              <w:instrText xml:space="preserve"> MERGEFIELD MasterSettlementAmount </w:instrText>
            </w:r>
            <w:r>
              <w:rPr>
                <w:sz w:val="22"/>
              </w:rPr>
              <w:fldChar w:fldCharType="separate"/>
            </w:r>
            <w:r>
              <w:rPr>
                <w:sz w:val="22"/>
              </w:rPr>
              <w:t xml:space="preserve"> </w:t>
            </w:r>
            <w:r>
              <w:rPr>
                <w:sz w:val="22"/>
              </w:rPr>
              <w:fldChar w:fldCharType="end"/>
            </w:r>
          </w:p>
        </w:tc>
      </w:tr>
      <w:tr>
        <w:trPr>
          <w:trHeight w:val="261" w:hRule="atLeast"/>
        </w:trPr>
        <w:tc>
          <w:tcPr>
            <w:tcW w:w="9576" w:type="dxa"/>
            <w:gridSpan w:val="2"/>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p>
      <w:pPr>
        <w:pStyle w:val="Normal"/>
        <w:rPr>
          <w:sz w:val="22"/>
        </w:rPr>
      </w:pPr>
      <w:r>
        <w:rPr>
          <w:sz w:val="22"/>
        </w:rPr>
        <w:tab/>
        <w:tab/>
        <w:tab/>
        <w:tab/>
        <w:tab/>
        <w:t>Yours sincerely,</w:t>
      </w:r>
    </w:p>
    <w:p>
      <w:pPr>
        <w:pStyle w:val="Normal"/>
        <w:rPr>
          <w:sz w:val="22"/>
        </w:rPr>
      </w:pPr>
      <w:r>
        <w:rPr>
          <w:sz w:val="22"/>
        </w:rPr>
      </w:r>
    </w:p>
    <w:p>
      <w:pPr>
        <w:pStyle w:val="Normal"/>
        <w:rPr>
          <w:sz w:val="22"/>
        </w:rPr>
      </w:pPr>
      <w:r>
        <w:rPr>
          <w:sz w:val="22"/>
        </w:rPr>
        <w:tab/>
        <w:tab/>
        <w:tab/>
        <w:tab/>
        <w:tab/>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r>
    </w:p>
    <w:p>
      <w:pPr>
        <w:pStyle w:val="Normal"/>
        <w:rPr>
          <w:sz w:val="22"/>
        </w:rPr>
      </w:pPr>
      <w:r>
        <w:rPr>
          <w:sz w:val="22"/>
        </w:rPr>
        <w:tab/>
        <w:tab/>
        <w:tab/>
        <w:tab/>
        <w:tab/>
        <w:t xml:space="preserve">By: </w:t>
      </w:r>
    </w:p>
    <w:p>
      <w:pPr>
        <w:pStyle w:val="Normal"/>
        <w:rPr>
          <w:sz w:val="22"/>
        </w:rPr>
      </w:pPr>
      <w:r>
        <w:rPr>
          <w:sz w:val="22"/>
        </w:rPr>
        <w:tab/>
        <w:tab/>
        <w:tab/>
        <w:tab/>
        <w:tab/>
        <w:t xml:space="preserve">Name: </w:t>
      </w:r>
    </w:p>
    <w:p>
      <w:pPr>
        <w:pStyle w:val="Normal"/>
        <w:rPr>
          <w:sz w:val="22"/>
        </w:rPr>
      </w:pPr>
      <w:r>
        <w:rPr>
          <w:sz w:val="22"/>
        </w:rPr>
        <w:tab/>
        <w:tab/>
        <w:tab/>
        <w:tab/>
        <w:tab/>
        <w:t xml:space="preserve">Title:    </w:t>
      </w:r>
    </w:p>
    <w:p>
      <w:pPr>
        <w:pStyle w:val="Normal"/>
        <w:rPr>
          <w:sz w:val="22"/>
        </w:rPr>
      </w:pPr>
      <w:r>
        <w:rPr>
          <w:sz w:val="22"/>
        </w:rPr>
      </w:r>
    </w:p>
    <w:p>
      <w:pPr>
        <w:pStyle w:val="Normal"/>
        <w:rPr>
          <w:sz w:val="22"/>
        </w:rPr>
      </w:pPr>
      <w:r>
        <w:rPr>
          <w:sz w:val="22"/>
        </w:rPr>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[Counterparty]</w:t>
      </w:r>
    </w:p>
    <w:p>
      <w:pPr>
        <w:pStyle w:val="Normal"/>
        <w:rPr>
          <w:sz w:val="22"/>
        </w:rPr>
      </w:pPr>
      <w:r>
        <w:rPr>
          <w:sz w:val="22"/>
        </w:rPr>
      </w:r>
    </w:p>
    <w:p>
      <w:pPr>
        <w:pStyle w:val="Normal"/>
        <w:rPr>
          <w:sz w:val="22"/>
        </w:rPr>
      </w:pPr>
      <w:r>
        <w:rPr>
          <w:sz w:val="22"/>
        </w:rPr>
        <w:t>By:  _________________________________</w:t>
      </w:r>
    </w:p>
    <w:p>
      <w:pPr>
        <w:pStyle w:val="Normal"/>
        <w:rPr>
          <w:sz w:val="22"/>
        </w:rPr>
      </w:pPr>
      <w:r>
        <w:rPr>
          <w:sz w:val="22"/>
        </w:rPr>
        <w:t xml:space="preserve">Name: </w:t>
      </w:r>
    </w:p>
    <w:p>
      <w:pPr>
        <w:pStyle w:val="Normal"/>
        <w:rPr>
          <w:sz w:val="22"/>
        </w:rPr>
      </w:pPr>
      <w:r>
        <w:rPr>
          <w:sz w:val="22"/>
        </w:rPr>
        <w:t>Title:</w:t>
      </w:r>
    </w:p>
    <w:sectPr>
      <w:headerReference w:type="default" r:id="rId3"/>
      <w:type w:val="nextPage"/>
      <w:pgSz w:w="12240" w:h="15840"/>
      <w:pgMar w:left="1440" w:right="1440" w:gutter="0" w:header="72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2000-06-01T18:03:00Z</dcterms:created>
  <dc:creator>ECT</dc:creator>
  <dc:description/>
  <dc:language>en-CA</dc:language>
  <cp:lastModifiedBy>jhunte2</cp:lastModifiedBy>
  <dcterms:modified xsi:type="dcterms:W3CDTF">2000-08-04T15:41:00Z</dcterms:modified>
  <cp:revision>7</cp:revision>
  <dc:subject>TransCanada Energy Financial Products Limited</dc:subject>
  <dc:title>NK7079.1</dc:title>
</cp:coreProperties>
</file>