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DRAFT</w:t>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(Straddle Option)</w:t>
      </w:r>
    </w:p>
    <w:p>
      <w:pPr>
        <w:pStyle w:val="Normal"/>
        <w:rPr>
          <w:b/>
          <w:sz w:val="22"/>
        </w:rPr>
      </w:pPr>
      <w:r>
        <w:rPr>
          <w:b/>
          <w:sz w:val="22"/>
        </w:rPr>
      </w:r>
    </w:p>
    <w:p>
      <w:pPr>
        <w:pStyle w:val="Normal"/>
        <w:rPr>
          <w:sz w:val="22"/>
        </w:rPr>
      </w:pPr>
      <w:r>
        <w:rPr>
          <w:sz w:val="22"/>
        </w:rPr>
        <w:t>Date:</w:t>
        <w:tab/>
        <w:tab/>
        <w:tab/>
        <w:tab/>
        <w:t>[Trade Date]</w:t>
      </w:r>
    </w:p>
    <w:p>
      <w:pPr>
        <w:pStyle w:val="Normal"/>
        <w:rPr>
          <w:sz w:val="22"/>
        </w:rPr>
      </w:pPr>
      <w:r>
        <w:rPr>
          <w:sz w:val="22"/>
        </w:rPr>
        <w:t>To:</w:t>
        <w:tab/>
        <w:tab/>
        <w:tab/>
        <w:tab/>
        <w:t>[                        ] (“Counterparty”)</w:t>
      </w:r>
    </w:p>
    <w:p>
      <w:pPr>
        <w:pStyle w:val="Normal"/>
        <w:rPr>
          <w:sz w:val="22"/>
        </w:rPr>
      </w:pPr>
      <w:r>
        <w:rPr>
          <w:sz w:val="22"/>
        </w:rPr>
        <w:t>Attention:</w:t>
        <w:tab/>
        <w:tab/>
        <w:tab/>
        <w:t>[                        ]</w:t>
      </w:r>
    </w:p>
    <w:p>
      <w:pPr>
        <w:pStyle w:val="Normal"/>
        <w:rPr>
          <w:sz w:val="22"/>
        </w:rPr>
      </w:pPr>
      <w:r>
        <w:rPr>
          <w:sz w:val="22"/>
        </w:rPr>
        <w:t>Fax No.:</w:t>
        <w:tab/>
        <w:tab/>
        <w:tab/>
        <w:t>[                        ]</w:t>
      </w:r>
    </w:p>
    <w:p>
      <w:pPr>
        <w:pStyle w:val="Normal"/>
        <w:rPr>
          <w:sz w:val="22"/>
        </w:rPr>
      </w:pPr>
      <w:r>
        <w:rPr>
          <w:sz w:val="22"/>
        </w:rPr>
        <w:t>From:</w:t>
        <w:tab/>
        <w:tab/>
        <w:tab/>
        <w:tab/>
        <w:t>Enron North America Corp.</w:t>
      </w:r>
    </w:p>
    <w:p>
      <w:pPr>
        <w:pStyle w:val="Normal"/>
        <w:rPr>
          <w:sz w:val="22"/>
        </w:rPr>
      </w:pPr>
      <w:r>
        <w:rPr>
          <w:sz w:val="22"/>
        </w:rPr>
        <w:t>Re:</w:t>
        <w:tab/>
        <w:tab/>
        <w:tab/>
        <w:tab/>
        <w:t>Commodity Straddle [Deal No.]</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 for Put:</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Natural Gas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MMBtu (One Million British Thermal Units)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 Type:</w:t>
            </w:r>
          </w:p>
        </w:tc>
        <w:tc>
          <w:tcPr>
            <w:tcW w:w="6102" w:type="dxa"/>
            <w:tcBorders/>
          </w:tcPr>
          <w:p>
            <w:pPr>
              <w:pStyle w:val="Normal"/>
              <w:jc w:val="both"/>
              <w:rPr>
                <w:sz w:val="22"/>
              </w:rPr>
            </w:pPr>
            <w:r>
              <w:rPr>
                <w:sz w:val="22"/>
              </w:rPr>
              <w:t>Staddle</w:t>
            </w:r>
          </w:p>
          <w:p>
            <w:pPr>
              <w:pStyle w:val="Normal"/>
              <w:jc w:val="both"/>
              <w:rPr>
                <w:sz w:val="22"/>
              </w:rPr>
            </w:pPr>
            <w:r>
              <w:rPr>
                <w:sz w:val="22"/>
              </w:rPr>
              <w:t>(Call &amp; Put)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Seller:</w:t>
            </w:r>
          </w:p>
        </w:tc>
        <w:tc>
          <w:tcPr>
            <w:tcW w:w="6102" w:type="dxa"/>
            <w:tcBorders/>
          </w:tcPr>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Buyer:</w:t>
            </w:r>
          </w:p>
        </w:tc>
        <w:tc>
          <w:tcPr>
            <w:tcW w:w="6102"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Total Premium:</w:t>
            </w:r>
          </w:p>
        </w:tc>
        <w:tc>
          <w:tcPr>
            <w:tcW w:w="6102" w:type="dxa"/>
            <w:tcBorders/>
          </w:tcPr>
          <w:p>
            <w:pPr>
              <w:pStyle w:val="Normal"/>
              <w:jc w:val="both"/>
              <w:rPr>
                <w:sz w:val="22"/>
              </w:rPr>
            </w:pPr>
            <w:r>
              <w:rPr>
                <w:sz w:val="22"/>
              </w:rPr>
              <w:t>US Dollars $[                 ] due Seller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Premium Payment Date(s):</w:t>
            </w:r>
          </w:p>
        </w:tc>
        <w:tc>
          <w:tcPr>
            <w:tcW w:w="6102" w:type="dxa"/>
            <w:tcBorders/>
          </w:tcPr>
          <w:p>
            <w:pPr>
              <w:pStyle w:val="Normal"/>
              <w:jc w:val="both"/>
              <w:rPr/>
            </w:pPr>
            <w:r>
              <w:rPr>
                <w:sz w:val="22"/>
              </w:rPr>
              <w:t>[</w:t>
            </w:r>
            <w:r>
              <w:rPr>
                <w:i/>
                <w:sz w:val="22"/>
              </w:rPr>
              <w:t>Two Business Days following the Trade Date</w:t>
            </w:r>
            <w:r>
              <w:rPr>
                <w:sz w:val="22"/>
              </w:rPr>
              <w: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Automatic Exercise:</w:t>
            </w:r>
          </w:p>
        </w:tc>
        <w:tc>
          <w:tcPr>
            <w:tcW w:w="6102" w:type="dxa"/>
            <w:tcBorders/>
          </w:tcPr>
          <w:p>
            <w:pPr>
              <w:pStyle w:val="Normal"/>
              <w:jc w:val="both"/>
              <w:rPr>
                <w:sz w:val="22"/>
              </w:rPr>
            </w:pPr>
            <w:r>
              <w:rPr>
                <w:sz w:val="22"/>
              </w:rPr>
              <w:t>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Exercise Period:</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Written Confirmation:</w:t>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ind w:start="720" w:end="0"/>
              <w:rPr>
                <w:sz w:val="22"/>
              </w:rPr>
            </w:pPr>
            <w:r>
              <w:rPr>
                <w:sz w:val="22"/>
              </w:rPr>
            </w:r>
          </w:p>
          <w:p>
            <w:pPr>
              <w:pStyle w:val="Normal"/>
              <w:ind w:start="720" w:end="0"/>
              <w:rPr>
                <w:sz w:val="22"/>
              </w:rPr>
            </w:pPr>
            <w:r>
              <w:rPr>
                <w:sz w:val="22"/>
              </w:rPr>
            </w:r>
          </w:p>
          <w:p>
            <w:pPr>
              <w:pStyle w:val="Normal"/>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90" w:end="0"/>
              <w:rPr>
                <w:b/>
                <w:sz w:val="22"/>
              </w:rPr>
            </w:pPr>
            <w:r>
              <w:rPr>
                <w:b/>
                <w:sz w:val="22"/>
              </w:rPr>
              <w:t>Transaction Terms:</w:t>
            </w:r>
          </w:p>
        </w:tc>
        <w:tc>
          <w:tcPr>
            <w:tcW w:w="6102"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Notional Quantity per</w:t>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w:t>
            </w:r>
          </w:p>
        </w:tc>
        <w:tc>
          <w:tcPr>
            <w:tcW w:w="6102" w:type="dxa"/>
            <w:tcBorders/>
          </w:tcPr>
          <w:p>
            <w:pPr>
              <w:pStyle w:val="Normal"/>
              <w:jc w:val="both"/>
              <w:rPr>
                <w:sz w:val="22"/>
              </w:rPr>
            </w:pPr>
            <w:r>
              <w:rPr>
                <w:sz w:val="22"/>
              </w:rPr>
              <w:t>10,000 MMBtu multiplied by the number of days in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          ] and ending [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 (Call &amp; Put):</w:t>
            </w:r>
          </w:p>
        </w:tc>
        <w:tc>
          <w:tcPr>
            <w:tcW w:w="6102" w:type="dxa"/>
            <w:tcBorders/>
          </w:tcPr>
          <w:p>
            <w:pPr>
              <w:pStyle w:val="Normal"/>
              <w:jc w:val="both"/>
              <w:rPr>
                <w:sz w:val="22"/>
              </w:rPr>
            </w:pPr>
            <w:r>
              <w:rPr>
                <w:rFonts w:cs="Tms Rmn" w:ascii="Tms Rmn" w:hAnsi="Tms Rmn"/>
                <w:color w:val="000000"/>
                <w:sz w:val="22"/>
                <w:lang w:eastAsia="en-US"/>
              </w:rPr>
              <w:t>The South Louisiana – Henry Hub Index price for delivery during the applicable Determination Period in the “Market Center Spot – Gas Prices” section located in the first issue of Inside F.E.R.C.’s Gas Market Report published during the applicable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BodyText"/>
              <w:widowControl/>
              <w:rPr>
                <w:rFonts w:ascii="Tms Rmn" w:hAnsi="Tms Rmn" w:cs="Tms Rmn"/>
                <w:color w:val="000000"/>
                <w:lang w:eastAsia="en-US"/>
              </w:rPr>
            </w:pPr>
            <w:r>
              <w:rPr>
                <w:rFonts w:cs="Tms Rmn" w:ascii="Tms Rmn" w:hAnsi="Tms Rmn"/>
                <w:color w:val="000000"/>
                <w:lang w:eastAsia="en-US"/>
              </w:rPr>
              <w:t>The Midpoint price published on each calendar day during the Determination Period under the heading “Daily Price Survey” in the Louisiana--Onshore South:  Henry Hub section of Gas Daily, or if a calendar day is not a Business Day then the price for such calendar day will be the Midpoint price published on the next succeeding Business Day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pPr>
            <w:r>
              <w:rPr>
                <w:sz w:val="22"/>
              </w:rPr>
              <w:t xml:space="preserve">Call </w:t>
            </w:r>
            <w:r>
              <w:rPr>
                <w:sz w:val="22"/>
              </w:rPr>
              <w:fldChar w:fldCharType="begin"/>
            </w:r>
            <w:r>
              <w:rPr>
                <w:sz w:val="22"/>
              </w:rPr>
              <w:instrText xml:space="preserve"> MERGEFIELD MasterSettlementLit </w:instrText>
            </w:r>
            <w:r>
              <w:rPr>
                <w:sz w:val="22"/>
              </w:rPr>
              <w:fldChar w:fldCharType="separate"/>
            </w:r>
            <w:r>
              <w:rPr>
                <w:sz w:val="22"/>
              </w:rPr>
              <w:t>Cash Settlement Amount</w:t>
            </w:r>
            <w:r>
              <w:rPr>
                <w:sz w:val="22"/>
              </w:rPr>
              <w:fldChar w:fldCharType="end"/>
            </w:r>
            <w:r>
              <w:rPr>
                <w:sz w:val="22"/>
              </w:rPr>
              <w:t>:</w:t>
            </w:r>
          </w:p>
        </w:tc>
        <w:tc>
          <w:tcPr>
            <w:tcW w:w="6102" w:type="dxa"/>
            <w:tcBorders/>
          </w:tcPr>
          <w:p>
            <w:pPr>
              <w:pStyle w:val="Normal"/>
              <w:jc w:val="both"/>
              <w:rPr>
                <w:sz w:val="22"/>
              </w:rPr>
            </w:pPr>
            <w:r>
              <w:rPr>
                <w:sz w:val="22"/>
              </w:rPr>
              <w:t>Amount payable by Seller on the applicable Payment Date for such Determination Period which is the product of (i) the Notional Quantity per Determination Period and (ii) the excess, if any, of the Floating Price over the Strike Price in respect of such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Put Cash Settlement Amount:</w:t>
            </w:r>
          </w:p>
        </w:tc>
        <w:tc>
          <w:tcPr>
            <w:tcW w:w="6102" w:type="dxa"/>
            <w:tcBorders/>
          </w:tcPr>
          <w:p>
            <w:pPr>
              <w:pStyle w:val="BodyTextIndent"/>
              <w:ind w:hanging="0" w:start="0" w:end="0"/>
              <w:jc w:val="both"/>
              <w:rPr/>
            </w:pPr>
            <w:r>
              <w:rPr/>
              <w:t>Amount payable by Seller on the applicable Payment Date for such Determination Period which is the product of (i) the Notional Quantity per Determination Period and (ii) the excess, if any, of the Strike Price over the Floating Price in respect of such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(5th) Business Day after the last Calculation Period with respect to each calendar month for those Calculation Periods occurring during such calendar month</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None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5148"/>
        <w:gridCol w:w="6012"/>
      </w:tblGrid>
      <w:tr>
        <w:trPr/>
        <w:tc>
          <w:tcPr>
            <w:tcW w:w="5148" w:type="dxa"/>
            <w:tcBorders/>
          </w:tcPr>
          <w:p>
            <w:pPr>
              <w:pStyle w:val="Normal"/>
              <w:rPr>
                <w:sz w:val="22"/>
              </w:rPr>
            </w:pPr>
            <w:r>
              <w:rPr>
                <w:sz w:val="22"/>
              </w:rPr>
              <w:t>Enron North America Corp.</w:t>
            </w:r>
          </w:p>
        </w:tc>
        <w:tc>
          <w:tcPr>
            <w:tcW w:w="6012" w:type="dxa"/>
            <w:tcBorders/>
          </w:tcPr>
          <w:p>
            <w:pPr>
              <w:pStyle w:val="Normal"/>
              <w:rPr/>
            </w:pPr>
            <w:r>
              <w:rPr>
                <w:sz w:val="22"/>
              </w:rPr>
              <w:t>[</w:t>
            </w:r>
            <w:r>
              <w:rPr>
                <w:i/>
                <w:sz w:val="22"/>
              </w:rPr>
              <w:t>Counterparty Name</w:t>
            </w:r>
            <w:r>
              <w:rPr>
                <w:sz w:val="22"/>
              </w:rPr>
              <w:t>]</w:t>
            </w:r>
          </w:p>
        </w:tc>
      </w:tr>
    </w:tbl>
    <w:p>
      <w:pPr>
        <w:pStyle w:val="Normal"/>
        <w:rPr>
          <w:sz w:val="22"/>
        </w:rPr>
      </w:pPr>
      <w:r>
        <w:rPr>
          <w:sz w:val="22"/>
        </w:rPr>
      </w:r>
    </w:p>
    <w:tbl>
      <w:tblPr>
        <w:tblW w:w="11160" w:type="dxa"/>
        <w:jc w:val="start"/>
        <w:tblInd w:w="0" w:type="dxa"/>
        <w:tblLayout w:type="fixed"/>
        <w:tblCellMar>
          <w:top w:w="0" w:type="dxa"/>
          <w:start w:w="108" w:type="dxa"/>
          <w:bottom w:w="0" w:type="dxa"/>
          <w:end w:w="108" w:type="dxa"/>
        </w:tblCellMar>
      </w:tblPr>
      <w:tblGrid>
        <w:gridCol w:w="4428"/>
        <w:gridCol w:w="720"/>
        <w:gridCol w:w="5292"/>
        <w:gridCol w:w="720"/>
      </w:tblGrid>
      <w:tr>
        <w:trPr/>
        <w:tc>
          <w:tcPr>
            <w:tcW w:w="4428" w:type="dxa"/>
            <w:tcBorders/>
          </w:tcPr>
          <w:p>
            <w:pPr>
              <w:pStyle w:val="Normal"/>
              <w:rPr>
                <w:sz w:val="22"/>
              </w:rPr>
            </w:pPr>
            <w:r>
              <w:rPr>
                <w:sz w:val="22"/>
              </w:rPr>
              <w:t xml:space="preserve">             </w:t>
            </w:r>
          </w:p>
        </w:tc>
        <w:tc>
          <w:tcPr>
            <w:tcW w:w="6012" w:type="dxa"/>
            <w:gridSpan w:val="2"/>
            <w:tcBorders/>
          </w:tcPr>
          <w:p>
            <w:pPr>
              <w:pStyle w:val="Normal"/>
              <w:snapToGrid w:val="false"/>
              <w:rPr>
                <w:sz w:val="22"/>
              </w:rPr>
            </w:pPr>
            <w:r>
              <w:rPr>
                <w:sz w:val="22"/>
              </w:rPr>
            </w:r>
          </w:p>
        </w:tc>
        <w:tc>
          <w:tcPr>
            <w:tcW w:w="720" w:type="dxa"/>
            <w:tcBorders/>
            <w:tcMar>
              <w:start w:w="0" w:type="dxa"/>
              <w:end w:w="0" w:type="dxa"/>
            </w:tcMar>
          </w:tcPr>
          <w:p>
            <w:pPr>
              <w:pStyle w:val="Normal"/>
              <w:snapToGrid w:val="false"/>
              <w:rPr>
                <w:sz w:val="22"/>
              </w:rPr>
            </w:pPr>
            <w:r>
              <w:rPr>
                <w:sz w:val="22"/>
              </w:rPr>
            </w:r>
          </w:p>
        </w:tc>
      </w:tr>
      <w:tr>
        <w:trPr/>
        <w:tc>
          <w:tcPr>
            <w:tcW w:w="5148" w:type="dxa"/>
            <w:gridSpan w:val="2"/>
            <w:tcBorders/>
          </w:tcPr>
          <w:p>
            <w:pPr>
              <w:pStyle w:val="Normal"/>
              <w:rPr>
                <w:sz w:val="22"/>
              </w:rPr>
            </w:pPr>
            <w:r>
              <w:rPr>
                <w:sz w:val="22"/>
              </w:rPr>
              <w:t>By: _____________________________</w:t>
            </w:r>
          </w:p>
        </w:tc>
        <w:tc>
          <w:tcPr>
            <w:tcW w:w="6012" w:type="dxa"/>
            <w:gridSpan w:val="2"/>
            <w:tcBorders/>
          </w:tcPr>
          <w:p>
            <w:pPr>
              <w:pStyle w:val="Normal"/>
              <w:rPr>
                <w:sz w:val="22"/>
                <w:u w:val="single"/>
              </w:rPr>
            </w:pPr>
            <w:r>
              <w:rPr>
                <w:sz w:val="22"/>
              </w:rPr>
              <w:t>By: ____________________________</w:t>
            </w:r>
          </w:p>
        </w:tc>
      </w:tr>
      <w:tr>
        <w:trPr/>
        <w:tc>
          <w:tcPr>
            <w:tcW w:w="5148" w:type="dxa"/>
            <w:gridSpan w:val="2"/>
            <w:tcBorders/>
          </w:tcPr>
          <w:p>
            <w:pPr>
              <w:pStyle w:val="Normal"/>
              <w:rPr>
                <w:sz w:val="22"/>
              </w:rPr>
            </w:pPr>
            <w:r>
              <w:rPr>
                <w:sz w:val="22"/>
              </w:rPr>
              <w:t>Name: ___________________________</w:t>
            </w:r>
          </w:p>
        </w:tc>
        <w:tc>
          <w:tcPr>
            <w:tcW w:w="6012" w:type="dxa"/>
            <w:gridSpan w:val="2"/>
            <w:tcBorders/>
          </w:tcPr>
          <w:p>
            <w:pPr>
              <w:pStyle w:val="Normal"/>
              <w:rPr>
                <w:sz w:val="22"/>
              </w:rPr>
            </w:pPr>
            <w:r>
              <w:rPr>
                <w:sz w:val="22"/>
              </w:rPr>
              <w:t>Name:  _________________________</w:t>
            </w:r>
          </w:p>
        </w:tc>
      </w:tr>
      <w:tr>
        <w:trPr/>
        <w:tc>
          <w:tcPr>
            <w:tcW w:w="5148" w:type="dxa"/>
            <w:gridSpan w:val="2"/>
            <w:tcBorders/>
          </w:tcPr>
          <w:p>
            <w:pPr>
              <w:pStyle w:val="Normal"/>
              <w:rPr>
                <w:sz w:val="22"/>
              </w:rPr>
            </w:pPr>
            <w:r>
              <w:rPr>
                <w:sz w:val="22"/>
              </w:rPr>
              <w:t>Title: ____________________________</w:t>
            </w:r>
          </w:p>
        </w:tc>
        <w:tc>
          <w:tcPr>
            <w:tcW w:w="6012" w:type="dxa"/>
            <w:gridSpan w:val="2"/>
            <w:tcBorders/>
          </w:tcPr>
          <w:p>
            <w:pPr>
              <w:pStyle w:val="Normal"/>
              <w:rPr>
                <w:sz w:val="22"/>
              </w:rPr>
            </w:pPr>
            <w:r>
              <w:rPr>
                <w:sz w:val="22"/>
              </w:rPr>
              <w:t>Title:  __________________________</w:t>
            </w:r>
          </w:p>
        </w:tc>
      </w:tr>
      <w:tr>
        <w:trPr/>
        <w:tc>
          <w:tcPr>
            <w:tcW w:w="5148" w:type="dxa"/>
            <w:gridSpan w:val="2"/>
            <w:tcBorders/>
          </w:tcPr>
          <w:p>
            <w:pPr>
              <w:pStyle w:val="Normal"/>
              <w:rPr>
                <w:sz w:val="22"/>
              </w:rPr>
            </w:pPr>
            <w:r>
              <w:rPr>
                <w:sz w:val="22"/>
              </w:rPr>
              <w:t>Date: ____________________________</w:t>
            </w:r>
          </w:p>
        </w:tc>
        <w:tc>
          <w:tcPr>
            <w:tcW w:w="6012" w:type="dxa"/>
            <w:gridSpan w:val="2"/>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61925"/>
                      </a:xfrm>
                      <a:prstGeom prst="rect"/>
                      <a:solidFill>
                        <a:srgbClr val="FFFFFF">
                          <a:alpha val="0"/>
                        </a:srgbClr>
                      </a:solidFill>
                    </wps:spPr>
                    <wps:txbx>
                      <w:txbxContent>
                        <w:p>
                          <w:pPr>
                            <w:pStyle w:val="Footer"/>
                            <w:rPr>
                              <w:rStyle w:val="PageNumber"/>
                              <w:sz w:val="22"/>
                            </w:rPr>
                          </w:pPr>
                          <w:r>
                            <w:rPr/>
                          </w:r>
                        </w:p>
                      </w:txbxContent>
                    </wps:txbx>
                    <wps:bodyPr anchor="t" lIns="0" tIns="0" rIns="0" bIns="0">
                      <a:noAutofit/>
                    </wps:bodyPr>
                  </wps:wsp>
                </a:graphicData>
              </a:graphic>
            </wp:anchor>
          </w:drawing>
        </mc:Choice>
        <mc:Fallback>
          <w:pict>
            <v:rect fillcolor="#FFFFFF" style="position:absolute;rotation:-0;width:1.15pt;height:12.75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sz w:val="2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2"/>
      </w:rPr>
    </w:pP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3600" w:start="43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2000-09-13T16:55:00Z</dcterms:created>
  <dc:creator>ECT</dc:creator>
  <dc:description/>
  <dc:language>en-CA</dc:language>
  <cp:lastModifiedBy>jhunte2</cp:lastModifiedBy>
  <cp:lastPrinted>2000-09-07T18:10:00Z</cp:lastPrinted>
  <dcterms:modified xsi:type="dcterms:W3CDTF">2000-09-13T16:55:00Z</dcterms:modified>
  <cp:revision>2</cp:revision>
  <dc:subject/>
  <dc:title>#221840.1</dc:title>
</cp:coreProperties>
</file>