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rPr>
              <w:t>Enron Canada Corp</w:t>
            </w:r>
          </w:p>
          <w:p>
            <w:pPr>
              <w:pStyle w:val="Normal"/>
              <w:tabs>
                <w:tab w:val="clear" w:pos="720"/>
                <w:tab w:val="left" w:pos="2412" w:leader="none"/>
              </w:tabs>
              <w:ind w:start="1962" w:end="0"/>
              <w:rPr>
                <w:i/>
                <w:i/>
                <w:sz w:val="22"/>
              </w:rPr>
            </w:pPr>
            <w:r>
              <w:rPr>
                <w:i/>
                <w:sz w:val="22"/>
              </w:rPr>
              <w:t>3500 Canterra Tower</w:t>
            </w:r>
          </w:p>
          <w:p>
            <w:pPr>
              <w:pStyle w:val="Normal"/>
              <w:tabs>
                <w:tab w:val="clear" w:pos="720"/>
                <w:tab w:val="left" w:pos="2412" w:leader="none"/>
              </w:tabs>
              <w:ind w:start="1962" w:end="0"/>
              <w:rPr>
                <w:i/>
                <w:i/>
                <w:sz w:val="22"/>
              </w:rPr>
            </w:pPr>
            <w:r>
              <w:rPr>
                <w:i/>
                <w:sz w:val="22"/>
              </w:rPr>
              <w:t>400 Third Avenue S.W.</w:t>
            </w:r>
          </w:p>
          <w:p>
            <w:pPr>
              <w:pStyle w:val="Normal"/>
              <w:tabs>
                <w:tab w:val="clear" w:pos="720"/>
                <w:tab w:val="left" w:pos="2412" w:leader="none"/>
              </w:tabs>
              <w:ind w:start="1962" w:end="0"/>
              <w:rPr>
                <w:i/>
                <w:i/>
                <w:sz w:val="22"/>
              </w:rPr>
            </w:pPr>
            <w:r>
              <w:rPr>
                <w:i/>
                <w:sz w:val="22"/>
              </w:rPr>
              <w:t>Calgary; Alberta, Canada</w:t>
            </w:r>
          </w:p>
          <w:p>
            <w:pPr>
              <w:pStyle w:val="Normal"/>
              <w:tabs>
                <w:tab w:val="clear" w:pos="720"/>
                <w:tab w:val="left" w:pos="2412" w:leader="none"/>
              </w:tabs>
              <w:ind w:start="1962" w:end="0"/>
              <w:rPr>
                <w:i/>
                <w:i/>
                <w:sz w:val="22"/>
              </w:rPr>
            </w:pPr>
            <w:r>
              <w:rPr>
                <w:i/>
                <w:sz w:val="22"/>
              </w:rPr>
              <w:t>T2P 4H2</w:t>
            </w:r>
          </w:p>
          <w:p>
            <w:pPr>
              <w:pStyle w:val="Normal"/>
              <w:tabs>
                <w:tab w:val="clear" w:pos="720"/>
                <w:tab w:val="left" w:pos="2412" w:leader="none"/>
              </w:tabs>
              <w:ind w:start="1962" w:end="0"/>
              <w:rPr>
                <w:i/>
                <w:i/>
                <w:sz w:val="22"/>
              </w:rPr>
            </w:pPr>
            <w:r>
              <w:rPr>
                <w:i/>
                <w:sz w:val="22"/>
              </w:rPr>
              <w:t xml:space="preserve">Phone (403) 974-6700  </w:t>
            </w:r>
          </w:p>
          <w:p>
            <w:pPr>
              <w:pStyle w:val="Normal"/>
              <w:tabs>
                <w:tab w:val="clear" w:pos="720"/>
                <w:tab w:val="left" w:pos="2412" w:leader="none"/>
              </w:tabs>
              <w:ind w:start="1962" w:end="0"/>
              <w:rPr>
                <w:i/>
                <w:i/>
                <w:sz w:val="22"/>
              </w:rPr>
            </w:pPr>
            <w:r>
              <w:rPr>
                <w:i/>
                <w:sz w:val="22"/>
              </w:rPr>
              <w:t>Fax (403) 974-6706</w:t>
            </w:r>
          </w:p>
        </w:tc>
      </w:tr>
    </w:tbl>
    <w:p>
      <w:pPr>
        <w:pStyle w:val="Normal"/>
        <w:rPr>
          <w:sz w:val="22"/>
        </w:rPr>
      </w:pPr>
      <w:r>
        <w:rPr>
          <w:sz w:val="22"/>
        </w:rPr>
      </w:r>
    </w:p>
    <w:p>
      <w:pPr>
        <w:pStyle w:val="Normal"/>
        <w:jc w:val="center"/>
        <w:rPr>
          <w:b/>
          <w:sz w:val="22"/>
        </w:rPr>
      </w:pPr>
      <w:r>
        <w:rPr>
          <w:b/>
          <w:sz w:val="22"/>
        </w:rPr>
        <w:t xml:space="preserve"> </w:t>
      </w: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t>[               ]</w:t>
      </w:r>
    </w:p>
    <w:p>
      <w:pPr>
        <w:pStyle w:val="Normal"/>
        <w:rPr>
          <w:sz w:val="22"/>
        </w:rPr>
      </w:pPr>
      <w:r>
        <w:rPr>
          <w:sz w:val="22"/>
        </w:rPr>
        <w:t>To:</w:t>
        <w:tab/>
        <w:tab/>
        <w:tab/>
        <w:tab/>
        <w:t>[                        ] (“Counterparty”)</w:t>
      </w:r>
    </w:p>
    <w:p>
      <w:pPr>
        <w:pStyle w:val="Normal"/>
        <w:rPr>
          <w:sz w:val="22"/>
        </w:rPr>
      </w:pPr>
      <w:r>
        <w:rPr>
          <w:sz w:val="22"/>
        </w:rPr>
        <w:t>Attention:</w:t>
        <w:tab/>
        <w:tab/>
        <w:tab/>
        <w:t>[                        ]</w:t>
      </w:r>
    </w:p>
    <w:p>
      <w:pPr>
        <w:pStyle w:val="Normal"/>
        <w:rPr>
          <w:sz w:val="22"/>
        </w:rPr>
      </w:pPr>
      <w:r>
        <w:rPr>
          <w:sz w:val="22"/>
        </w:rPr>
        <w:t>Fax No.:</w:t>
        <w:tab/>
        <w:tab/>
        <w:tab/>
        <w:t>[                        ]</w:t>
      </w:r>
    </w:p>
    <w:p>
      <w:pPr>
        <w:pStyle w:val="Normal"/>
        <w:rPr>
          <w:sz w:val="22"/>
        </w:rPr>
      </w:pPr>
      <w:r>
        <w:rPr>
          <w:sz w:val="22"/>
        </w:rPr>
        <w:t>From:</w:t>
        <w:tab/>
        <w:tab/>
        <w:tab/>
        <w:tab/>
        <w:t>Enron Canada Corp. (“ECC”)</w:t>
      </w:r>
    </w:p>
    <w:p>
      <w:pPr>
        <w:pStyle w:val="Normal"/>
        <w:rPr>
          <w:sz w:val="22"/>
        </w:rPr>
      </w:pPr>
      <w:r>
        <w:rPr>
          <w:sz w:val="22"/>
        </w:rPr>
        <w:t>Re:</w:t>
        <w:tab/>
        <w:tab/>
        <w:tab/>
        <w:tab/>
        <w:t>Commodity Swap [          ]</w:t>
      </w:r>
    </w:p>
    <w:p>
      <w:pPr>
        <w:pStyle w:val="Normal"/>
        <w:rPr>
          <w:sz w:val="22"/>
        </w:rPr>
      </w:pPr>
      <w:r>
        <w:rPr>
          <w:sz w:val="22"/>
        </w:rPr>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t>Each calendar month beginning with [Effective Date] and ending with [Termination Date]</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pPr>
            <w:r>
              <w:rPr>
                <w:sz w:val="22"/>
              </w:rPr>
              <w:t>The Fifth (5</w:t>
            </w:r>
            <w:r>
              <w:rPr>
                <w:sz w:val="22"/>
                <w:vertAlign w:val="superscript"/>
              </w:rPr>
              <w:t>th</w:t>
            </w:r>
            <w:r>
              <w:rPr>
                <w:sz w:val="22"/>
              </w:rPr>
              <w:t>) Business Day succeeding the Pricing Date for the applicable Determination Period</w:t>
            </w:r>
          </w:p>
        </w:tc>
      </w:tr>
    </w:tbl>
    <w:p>
      <w:pPr>
        <w:pStyle w:val="Normal"/>
        <w:rPr>
          <w:sz w:val="22"/>
        </w:rPr>
      </w:pPr>
      <w:r>
        <w:rPr>
          <w:sz w:val="22"/>
        </w:rPr>
      </w:r>
    </w:p>
    <w:p>
      <w:pPr>
        <w:pStyle w:val="Normal"/>
        <w:rPr>
          <w:b/>
          <w:sz w:val="22"/>
        </w:rPr>
      </w:pPr>
      <w:r>
        <w:rPr>
          <w:b/>
          <w:sz w:val="22"/>
        </w:rPr>
        <w:t>Fixed Amount Details:</w:t>
      </w:r>
    </w:p>
    <w:p>
      <w:pPr>
        <w:pStyle w:val="Normal"/>
        <w:rPr>
          <w:b/>
          <w:sz w:val="22"/>
        </w:rPr>
      </w:pPr>
      <w:r>
        <w:rPr>
          <w:b/>
          <w:sz w:val="22"/>
        </w:rPr>
      </w:r>
    </w:p>
    <w:p>
      <w:pPr>
        <w:pStyle w:val="Normal"/>
        <w:jc w:val="both"/>
        <w:rPr>
          <w:sz w:val="22"/>
        </w:rPr>
      </w:pPr>
      <w:r>
        <w:rPr>
          <w:sz w:val="22"/>
        </w:rPr>
        <w:tab/>
        <w:t>Fixed Price Payor:</w:t>
        <w:tab/>
        <w:tab/>
        <w:tab/>
        <w:t>ECC/Counterparty</w:t>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Fixed Price</w:t>
            </w:r>
          </w:p>
        </w:tc>
        <w:tc>
          <w:tcPr>
            <w:tcW w:w="6102" w:type="dxa"/>
            <w:tcBorders/>
          </w:tcPr>
          <w:p>
            <w:pPr>
              <w:pStyle w:val="Normal"/>
              <w:jc w:val="both"/>
              <w:rPr>
                <w:sz w:val="22"/>
              </w:rPr>
            </w:pPr>
            <w:r>
              <w:rPr>
                <w:sz w:val="22"/>
              </w:rPr>
              <w:t>TBA</w:t>
            </w:r>
          </w:p>
        </w:tc>
      </w:tr>
    </w:tbl>
    <w:p>
      <w:pPr>
        <w:pStyle w:val="Normal"/>
        <w:rPr>
          <w:sz w:val="22"/>
        </w:rPr>
      </w:pPr>
      <w:r>
        <w:rPr>
          <w:sz w:val="22"/>
        </w:rPr>
        <w:tab/>
      </w:r>
    </w:p>
    <w:p>
      <w:pPr>
        <w:pStyle w:val="Normal"/>
        <w:rPr>
          <w:b/>
          <w:sz w:val="22"/>
        </w:rPr>
      </w:pPr>
      <w:r>
        <w:rPr>
          <w:b/>
          <w:sz w:val="22"/>
        </w:rPr>
        <w:t>Floating Amount Details:</w:t>
      </w:r>
    </w:p>
    <w:p>
      <w:pPr>
        <w:pStyle w:val="Normal"/>
        <w:rPr>
          <w:b/>
          <w:sz w:val="22"/>
        </w:rPr>
      </w:pPr>
      <w:r>
        <w:rPr>
          <w:b/>
          <w:sz w:val="22"/>
        </w:rPr>
      </w:r>
    </w:p>
    <w:p>
      <w:pPr>
        <w:pStyle w:val="Normal"/>
        <w:jc w:val="both"/>
        <w:rPr>
          <w:sz w:val="22"/>
        </w:rPr>
      </w:pPr>
      <w:r>
        <w:rPr>
          <w:sz w:val="22"/>
        </w:rPr>
        <w:tab/>
        <w:t>Floating Price Payor:</w:t>
        <w:tab/>
        <w:tab/>
        <w:tab/>
        <w:t>ECC/Counterparty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tc>
        <w:tc>
          <w:tcPr>
            <w:tcW w:w="6102" w:type="dxa"/>
            <w:tcBorders/>
          </w:tcPr>
          <w:p>
            <w:pPr>
              <w:pStyle w:val="Normal"/>
              <w:jc w:val="both"/>
              <w:rPr>
                <w:sz w:val="22"/>
              </w:rPr>
            </w:pPr>
            <w:r>
              <w:rPr>
                <w:sz w:val="22"/>
              </w:rPr>
              <w:t>TBA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t>US Dollars / Canadian Dollars</w:t>
            </w:r>
          </w:p>
        </w:tc>
      </w:tr>
      <w:tr>
        <w:trPr/>
        <w:tc>
          <w:tcPr>
            <w:tcW w:w="4338" w:type="dxa"/>
            <w:tcBorders/>
          </w:tcPr>
          <w:p>
            <w:pPr>
              <w:pStyle w:val="Normal"/>
              <w:snapToGrid w:val="false"/>
              <w:rPr>
                <w:b/>
                <w:sz w:val="22"/>
              </w:rPr>
            </w:pPr>
            <w:r>
              <w:rPr>
                <w:b/>
                <w:sz w:val="22"/>
              </w:rPr>
            </w:r>
          </w:p>
        </w:tc>
        <w:tc>
          <w:tcPr>
            <w:tcW w:w="6102" w:type="dxa"/>
            <w:tcBorders/>
          </w:tcPr>
          <w:p>
            <w:pPr>
              <w:pStyle w:val="Normal"/>
              <w:snapToGrid w:val="false"/>
              <w:jc w:val="both"/>
              <w:rPr>
                <w:b/>
                <w:sz w:val="22"/>
              </w:rPr>
            </w:pPr>
            <w:r>
              <w:rPr>
                <w:b/>
                <w:sz w:val="22"/>
              </w:rPr>
            </w:r>
          </w:p>
        </w:tc>
      </w:tr>
      <w:tr>
        <w:trPr/>
        <w:tc>
          <w:tcPr>
            <w:tcW w:w="4338" w:type="dxa"/>
            <w:tcBorders/>
          </w:tcPr>
          <w:p>
            <w:pPr>
              <w:pStyle w:val="Normal"/>
              <w:rPr>
                <w:b/>
                <w:sz w:val="22"/>
              </w:rPr>
            </w:pPr>
            <w:r>
              <w:rPr>
                <w:b/>
                <w:sz w:val="22"/>
              </w:rPr>
              <w:t>Governing Law:</w:t>
            </w:r>
          </w:p>
        </w:tc>
        <w:tc>
          <w:tcPr>
            <w:tcW w:w="6102" w:type="dxa"/>
            <w:tcBorders/>
          </w:tcPr>
          <w:p>
            <w:pPr>
              <w:pStyle w:val="Normal"/>
              <w:jc w:val="both"/>
              <w:rPr>
                <w:sz w:val="22"/>
              </w:rPr>
            </w:pPr>
            <w:r>
              <w:rPr>
                <w:sz w:val="22"/>
              </w:rPr>
              <w:t>The Federal Laws of Canada and the Laws of the Province of Alberta</w:t>
            </w:r>
          </w:p>
        </w:tc>
      </w:tr>
    </w:tbl>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2"/>
              </w:rPr>
            </w:pPr>
            <w:r>
              <w:rPr>
                <w:b/>
                <w:sz w:val="22"/>
              </w:rPr>
              <w:t>Credit or Other Special Provisions:</w:t>
            </w:r>
          </w:p>
        </w:tc>
        <w:tc>
          <w:tcPr>
            <w:tcW w:w="6102" w:type="dxa"/>
            <w:tcBorders/>
          </w:tcPr>
          <w:p>
            <w:pPr>
              <w:pStyle w:val="Normal"/>
              <w:jc w:val="both"/>
              <w:rPr>
                <w:sz w:val="22"/>
              </w:rPr>
            </w:pPr>
            <w:r>
              <w:rPr>
                <w:sz w:val="22"/>
              </w:rPr>
              <w:t>TBA / Not applicable</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r>
        <w:trPr/>
        <w:tc>
          <w:tcPr>
            <w:tcW w:w="10440" w:type="dxa"/>
            <w:tcBorders/>
          </w:tcPr>
          <w:p>
            <w:pPr>
              <w:pStyle w:val="Normal"/>
              <w:snapToGrid w:val="false"/>
              <w:jc w:val="both"/>
              <w:rPr>
                <w:sz w:val="22"/>
              </w:rPr>
            </w:pPr>
            <w:r>
              <w:rPr>
                <w:sz w:val="22"/>
              </w:rPr>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Each party represents that it is in compliance with the terms, conditions and limitations set forth in the board resolutions or other guidelines that are applicable to such party’s execution and performance of this Transaction.</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jc w:val="both"/>
        <w:rPr/>
      </w:pPr>
      <w:r>
        <w:rPr>
          <w:sz w:val="22"/>
        </w:rPr>
        <w:tab/>
      </w:r>
      <w:r>
        <w:rPr>
          <w:color w:val="000000"/>
          <w:sz w:val="22"/>
          <w:lang w:eastAsia="en-US"/>
        </w:rPr>
        <w:t xml:space="preserve">“Each Party, with respect to itself, hereby represents and warrants to the other Party, that (a) this Transaction shall constitute an “OTC Derivative” as defined in the </w:t>
      </w:r>
      <w:r>
        <w:rPr>
          <w:i/>
          <w:color w:val="000000"/>
          <w:sz w:val="22"/>
          <w:lang w:eastAsia="en-US"/>
        </w:rPr>
        <w:t>Securities Act</w:t>
      </w:r>
      <w:r>
        <w:rPr>
          <w:color w:val="000000"/>
          <w:sz w:val="22"/>
          <w:lang w:eastAsia="en-US"/>
        </w:rPr>
        <w:t xml:space="preserve"> (Alberta) and the </w:t>
      </w:r>
      <w:r>
        <w:rPr>
          <w:i/>
          <w:color w:val="000000"/>
          <w:sz w:val="22"/>
          <w:lang w:eastAsia="en-US"/>
        </w:rPr>
        <w:t>Securities Act</w:t>
      </w:r>
      <w:r>
        <w:rPr>
          <w:color w:val="000000"/>
          <w:sz w:val="22"/>
          <w:lang w:eastAsia="en-US"/>
        </w:rPr>
        <w:t xml:space="preserve"> (British Columbia) which have application to this Transaction and (b) it is a “Qualified Party” within the meaning of paragraph 9.1 of Alberta Securities Commission Order Doc.#394043 and paragraph 1.1 of the draft British Columbia Securities Commission Blanket Order BOR#91-501, as in effect on the date hereof.”</w:t>
      </w:r>
      <w:r>
        <w:rPr>
          <w:sz w:val="22"/>
        </w:rPr>
        <w:tab/>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rHeight w:val="207" w:hRule="atLeast"/>
        </w:trPr>
        <w:tc>
          <w:tcPr>
            <w:tcW w:w="4428" w:type="dxa"/>
            <w:tcBorders/>
          </w:tcPr>
          <w:p>
            <w:pPr>
              <w:pStyle w:val="Normal"/>
              <w:rPr>
                <w:sz w:val="22"/>
              </w:rPr>
            </w:pPr>
            <w:r>
              <w:rPr>
                <w:sz w:val="22"/>
              </w:rPr>
              <w:t>Enron Canada Corp</w:t>
            </w:r>
          </w:p>
        </w:tc>
        <w:tc>
          <w:tcPr>
            <w:tcW w:w="6012" w:type="dxa"/>
            <w:tcBorders/>
          </w:tcPr>
          <w:p>
            <w:pPr>
              <w:pStyle w:val="Normal"/>
              <w:rPr>
                <w:sz w:val="22"/>
              </w:rPr>
            </w:pPr>
            <w:r>
              <w:rPr>
                <w:sz w:val="22"/>
              </w:rPr>
              <w:t>[Counterparty]</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 xml:space="preserve">By: </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 xml:space="preserve">Name: </w:t>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 xml:space="preserve">Title: </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p>
        </w:tc>
        <w:tc>
          <w:tcPr>
            <w:tcW w:w="6012" w:type="dxa"/>
            <w:tcBorders/>
          </w:tcPr>
          <w:p>
            <w:pPr>
              <w:pStyle w:val="Normal"/>
              <w:rPr>
                <w:sz w:val="22"/>
              </w:rPr>
            </w:pPr>
            <w:r>
              <w:rPr>
                <w:sz w:val="22"/>
              </w:rPr>
              <w:t>Date:  __________________________</w:t>
            </w:r>
          </w:p>
        </w:tc>
      </w:tr>
    </w:tbl>
    <w:p>
      <w:pPr>
        <w:pStyle w:val="Normal"/>
        <w:rPr>
          <w:sz w:val="22"/>
        </w:rPr>
      </w:pPr>
      <w:r>
        <w:rPr>
          <w:sz w:val="22"/>
        </w:rPr>
      </w:r>
    </w:p>
    <w:p>
      <w:pPr>
        <w:pStyle w:val="Normal"/>
        <w:rPr>
          <w:b/>
          <w:sz w:val="22"/>
        </w:rPr>
      </w:pPr>
      <w:r>
        <w:rPr>
          <w:b/>
          <w:sz w:val="22"/>
        </w:rPr>
      </w:r>
    </w:p>
    <w:p>
      <w:pPr>
        <w:pStyle w:val="Normal"/>
        <w:rPr>
          <w:b/>
          <w:sz w:val="22"/>
        </w:rPr>
      </w:pPr>
      <w:r>
        <w:rPr>
          <w:b/>
          <w:sz w:val="22"/>
        </w:rPr>
        <w:t>COUNTERPARTY: AFTER YOU HAVE CONFIRMED TRANSACTION, PLEASE RETURN TO ECC, ATTENTION:  DIRECTOR OF DOCUMENTATION AT FAX NO 403-974-6706</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ECC:</w:t>
            </w:r>
          </w:p>
        </w:tc>
        <w:tc>
          <w:tcPr>
            <w:tcW w:w="4932" w:type="dxa"/>
            <w:tcBorders/>
          </w:tcPr>
          <w:p>
            <w:pPr>
              <w:pStyle w:val="Normal"/>
              <w:rPr>
                <w:sz w:val="22"/>
              </w:rPr>
            </w:pPr>
            <w:r>
              <w:rPr>
                <w:b/>
                <w:sz w:val="22"/>
              </w:rPr>
              <w:t>Payment Account Information for ECC:</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«EnronAddr1»</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«WireTransfer»</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«EnronAddrCity»</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«EnronAddrState»</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«EnronAddrZip»</w:t>
            </w:r>
            <w:r>
              <w:rPr>
                <w:sz w:val="22"/>
              </w:rPr>
              <w:fldChar w:fldCharType="end"/>
            </w:r>
          </w:p>
        </w:tc>
        <w:tc>
          <w:tcPr>
            <w:tcW w:w="4932"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«WireTransferAcct»</w:t>
            </w:r>
            <w:r>
              <w:rPr>
                <w:sz w:val="22"/>
              </w:rPr>
              <w:fldChar w:fldCharType="end"/>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«ABARouting»</w:t>
            </w:r>
            <w:r>
              <w:rPr>
                <w:sz w:val="22"/>
              </w:rPr>
              <w:fldChar w:fldCharType="end"/>
            </w:r>
          </w:p>
        </w:tc>
      </w:tr>
      <w:tr>
        <w:trPr/>
        <w:tc>
          <w:tcPr>
            <w:tcW w:w="5508"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«EnronFax»</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«EnronTelephone»</w:t>
            </w:r>
            <w:r>
              <w:rPr>
                <w:sz w:val="22"/>
              </w:rPr>
              <w:fldChar w:fldCharType="end"/>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2000-09-26T17:43:00Z</dcterms:created>
  <dc:creator>ECT</dc:creator>
  <dc:description/>
  <dc:language>en-CA</dc:language>
  <cp:lastModifiedBy>jhunte2</cp:lastModifiedBy>
  <dcterms:modified xsi:type="dcterms:W3CDTF">2000-09-26T17:58:00Z</dcterms:modified>
  <cp:revision>3</cp:revision>
  <dc:subject/>
  <dc:title/>
</cp:coreProperties>
</file>