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b w:val="false"/>
          <w:bCs w:val="false"/>
          <w:u w:val="none"/>
        </w:rPr>
      </w:pPr>
      <w:r>
        <w:rPr>
          <w:b w:val="false"/>
          <w:bCs w:val="false"/>
          <w:u w:val="none"/>
        </w:rPr>
        <w:t>UNITED STATES OF AMERICA</w:t>
      </w:r>
    </w:p>
    <w:p>
      <w:pPr>
        <w:pStyle w:val="Heading"/>
        <w:spacing w:lineRule="auto" w:line="240"/>
        <w:rPr>
          <w:b w:val="false"/>
          <w:bCs w:val="false"/>
          <w:u w:val="none"/>
        </w:rPr>
      </w:pPr>
      <w:r>
        <w:rPr>
          <w:b w:val="false"/>
          <w:bCs w:val="false"/>
          <w:u w:val="none"/>
        </w:rPr>
        <w:t xml:space="preserve">BEFORE THE </w:t>
      </w:r>
    </w:p>
    <w:p>
      <w:pPr>
        <w:pStyle w:val="Heading"/>
        <w:spacing w:lineRule="auto" w:line="240"/>
        <w:rPr>
          <w:b w:val="false"/>
          <w:bCs w:val="false"/>
          <w:u w:val="none"/>
        </w:rPr>
      </w:pPr>
      <w:r>
        <w:rPr>
          <w:b w:val="false"/>
          <w:bCs w:val="false"/>
          <w:u w:val="none"/>
        </w:rPr>
        <w:t>FEDERAL ENERGY REGULATORY COMMISSION</w:t>
      </w:r>
    </w:p>
    <w:p>
      <w:pPr>
        <w:pStyle w:val="Heading"/>
        <w:spacing w:lineRule="auto" w:line="240"/>
        <w:rPr>
          <w:b w:val="false"/>
          <w:bCs w:val="false"/>
          <w:u w:val="none"/>
        </w:rPr>
      </w:pPr>
      <w:r>
        <w:rPr>
          <w:b w:val="false"/>
          <w:bCs w:val="false"/>
          <w:u w:val="none"/>
        </w:rPr>
      </w:r>
    </w:p>
    <w:p>
      <w:pPr>
        <w:pStyle w:val="Heading"/>
        <w:spacing w:lineRule="auto" w:line="240"/>
        <w:jc w:val="start"/>
        <w:rPr>
          <w:b w:val="false"/>
          <w:bCs w:val="false"/>
          <w:u w:val="none"/>
        </w:rPr>
      </w:pPr>
      <w:r>
        <w:rPr>
          <w:b w:val="false"/>
          <w:bCs w:val="false"/>
          <w:u w:val="none"/>
        </w:rPr>
        <w:t xml:space="preserve">_____________________________               </w:t>
      </w:r>
    </w:p>
    <w:p>
      <w:pPr>
        <w:pStyle w:val="Heading"/>
        <w:spacing w:lineRule="auto" w:line="240"/>
        <w:jc w:val="start"/>
        <w:rPr>
          <w:b w:val="false"/>
          <w:bCs w:val="false"/>
          <w:u w:val="none"/>
        </w:rPr>
      </w:pPr>
      <w:r>
        <w:rPr>
          <w:b w:val="false"/>
          <w:bCs w:val="false"/>
          <w:u w:val="none"/>
        </w:rPr>
        <w:t xml:space="preserve">                                                                   </w:t>
      </w:r>
      <w:r>
        <w:rPr>
          <w:b w:val="false"/>
          <w:bCs w:val="false"/>
          <w:u w:val="none"/>
        </w:rPr>
        <w:t>)</w:t>
      </w:r>
    </w:p>
    <w:p>
      <w:pPr>
        <w:pStyle w:val="Heading"/>
        <w:spacing w:lineRule="auto" w:line="240"/>
        <w:jc w:val="both"/>
        <w:rPr/>
      </w:pPr>
      <w:r>
        <w:rPr>
          <w:b w:val="false"/>
          <w:bCs w:val="false"/>
          <w:u w:val="none"/>
        </w:rPr>
        <w:t xml:space="preserve"> </w:t>
      </w:r>
      <w:r>
        <w:rPr>
          <w:b w:val="false"/>
          <w:bCs w:val="false"/>
          <w:u w:val="none"/>
        </w:rPr>
        <w:t xml:space="preserve">Alliant Energy Service, Inc. </w:t>
      </w:r>
      <w:r>
        <w:rPr>
          <w:b w:val="false"/>
          <w:bCs w:val="false"/>
          <w:i/>
          <w:iCs/>
          <w:u w:val="none"/>
        </w:rPr>
        <w:t>et al</w:t>
      </w:r>
      <w:r>
        <w:rPr>
          <w:b w:val="false"/>
          <w:bCs w:val="false"/>
          <w:u w:val="none"/>
        </w:rPr>
        <w:t>.            )                          Docket Nos. ER01-3154-000</w:t>
      </w:r>
    </w:p>
    <w:p>
      <w:pPr>
        <w:pStyle w:val="Heading"/>
        <w:spacing w:lineRule="auto" w:line="240"/>
        <w:jc w:val="both"/>
        <w:rPr>
          <w:b w:val="false"/>
          <w:bCs w:val="false"/>
          <w:u w:val="none"/>
        </w:rPr>
      </w:pPr>
      <w:r>
        <w:rPr>
          <w:b w:val="false"/>
          <w:bCs w:val="false"/>
          <w:u w:val="none"/>
        </w:rPr>
        <w:tab/>
        <w:tab/>
        <w:tab/>
        <w:tab/>
        <w:tab/>
        <w:t xml:space="preserve">       )</w:t>
        <w:tab/>
        <w:tab/>
        <w:tab/>
        <w:tab/>
        <w:t xml:space="preserve"> and  EC01-156-000</w:t>
      </w:r>
    </w:p>
    <w:p>
      <w:pPr>
        <w:pStyle w:val="Heading"/>
        <w:spacing w:lineRule="auto" w:line="240"/>
        <w:jc w:val="both"/>
        <w:rPr>
          <w:b w:val="false"/>
          <w:bCs w:val="false"/>
          <w:u w:val="none"/>
        </w:rPr>
      </w:pPr>
      <w:r>
        <w:rPr>
          <w:b w:val="false"/>
          <w:bCs w:val="false"/>
          <w:u w:val="none"/>
        </w:rPr>
        <w:t xml:space="preserve">                                                                   </w:t>
      </w:r>
      <w:r>
        <w:rPr>
          <w:b w:val="false"/>
          <w:bCs w:val="false"/>
          <w:u w:val="none"/>
        </w:rPr>
        <w:t>)</w:t>
      </w:r>
    </w:p>
    <w:p>
      <w:pPr>
        <w:pStyle w:val="Heading"/>
        <w:jc w:val="both"/>
        <w:rPr>
          <w:b w:val="false"/>
          <w:bCs w:val="false"/>
          <w:u w:val="none"/>
        </w:rPr>
      </w:pPr>
      <w:r>
        <w:rPr>
          <w:b w:val="false"/>
          <w:bCs w:val="false"/>
          <w:u w:val="none"/>
        </w:rPr>
        <w:t xml:space="preserve">______________________________       ) </w:t>
      </w:r>
    </w:p>
    <w:p>
      <w:pPr>
        <w:pStyle w:val="Heading"/>
        <w:spacing w:lineRule="auto" w:line="240"/>
        <w:rPr>
          <w:u w:val="none"/>
        </w:rPr>
      </w:pPr>
      <w:r>
        <w:rPr>
          <w:u w:val="none"/>
        </w:rPr>
        <w:t xml:space="preserve">MOTION FOR LEAVE TO INTERVENE AND PROTEST OF THE COMPETITIVE COALITION         </w:t>
      </w:r>
    </w:p>
    <w:p>
      <w:pPr>
        <w:pStyle w:val="Heading"/>
        <w:spacing w:lineRule="auto" w:line="240"/>
        <w:rPr>
          <w:u w:val="none"/>
        </w:rPr>
      </w:pPr>
      <w:r>
        <w:rPr>
          <w:u w:val="none"/>
        </w:rPr>
      </w:r>
    </w:p>
    <w:p>
      <w:pPr>
        <w:pStyle w:val="Heading"/>
        <w:spacing w:lineRule="auto" w:line="240"/>
        <w:jc w:val="start"/>
        <w:rPr>
          <w:b w:val="false"/>
          <w:bCs w:val="false"/>
          <w:u w:val="none"/>
        </w:rPr>
      </w:pPr>
      <w:r>
        <w:rPr>
          <w:b w:val="false"/>
          <w:bCs w:val="false"/>
          <w:u w:val="none"/>
        </w:rPr>
        <w:t>Pursuant to Rules 214 and 212 of theRules of Practice and Procedure of the Federal Energy Regulatory Commission (Commission), 18 C.F.R. 214 and 212, the Competitive Coalition hereby moves to intervene and protest in the above-captioned proceeding.</w:t>
      </w:r>
    </w:p>
    <w:p>
      <w:pPr>
        <w:pStyle w:val="Heading"/>
        <w:spacing w:lineRule="auto" w:line="240"/>
        <w:jc w:val="start"/>
        <w:rPr>
          <w:b w:val="false"/>
          <w:bCs w:val="false"/>
          <w:u w:val="none"/>
        </w:rPr>
      </w:pPr>
      <w:r>
        <w:rPr>
          <w:b w:val="false"/>
          <w:bCs w:val="false"/>
          <w:u w:val="none"/>
        </w:rPr>
      </w:r>
    </w:p>
    <w:p>
      <w:pPr>
        <w:pStyle w:val="Heading"/>
        <w:numPr>
          <w:ilvl w:val="0"/>
          <w:numId w:val="1"/>
        </w:numPr>
        <w:spacing w:lineRule="auto" w:line="240"/>
        <w:rPr/>
      </w:pPr>
      <w:r>
        <w:rPr/>
        <w:t>INTRODUCTION AND BACKGROUND</w:t>
      </w:r>
    </w:p>
    <w:p>
      <w:pPr>
        <w:pStyle w:val="Heading"/>
        <w:spacing w:lineRule="auto" w:line="240"/>
        <w:ind w:start="360" w:end="0"/>
        <w:rPr/>
      </w:pPr>
      <w:r>
        <w:rPr/>
      </w:r>
    </w:p>
    <w:p>
      <w:pPr>
        <w:pStyle w:val="Heading"/>
        <w:numPr>
          <w:ilvl w:val="0"/>
          <w:numId w:val="1"/>
        </w:numPr>
        <w:spacing w:lineRule="auto" w:line="240"/>
        <w:rPr/>
      </w:pPr>
      <w:r>
        <w:rPr/>
        <w:t>INTERVENTION</w:t>
      </w:r>
    </w:p>
    <w:p>
      <w:pPr>
        <w:pStyle w:val="Heading"/>
        <w:spacing w:lineRule="auto" w:line="240"/>
        <w:rPr/>
      </w:pPr>
      <w:r>
        <w:rPr/>
      </w:r>
    </w:p>
    <w:p>
      <w:pPr>
        <w:pStyle w:val="Heading"/>
        <w:numPr>
          <w:ilvl w:val="0"/>
          <w:numId w:val="1"/>
        </w:numPr>
        <w:spacing w:lineRule="auto" w:line="240"/>
        <w:rPr/>
      </w:pPr>
      <w:r>
        <w:rPr/>
        <w:t>SERVICE OF DOCUMENTS</w:t>
      </w:r>
    </w:p>
    <w:p>
      <w:pPr>
        <w:pStyle w:val="Heading"/>
        <w:rPr/>
      </w:pPr>
      <w:r>
        <w:rPr/>
      </w:r>
    </w:p>
    <w:p>
      <w:pPr>
        <w:pStyle w:val="Heading"/>
        <w:rPr>
          <w:u w:val="none"/>
        </w:rPr>
      </w:pPr>
      <w:r>
        <w:rPr>
          <w:u w:val="none"/>
        </w:rPr>
        <w:t xml:space="preserve">IV.    </w:t>
      </w:r>
      <w:r>
        <w:rPr/>
        <w:t>PROTEST</w:t>
      </w:r>
    </w:p>
    <w:p>
      <w:pPr>
        <w:pStyle w:val="Normal"/>
        <w:spacing w:lineRule="auto" w:line="480"/>
        <w:rPr>
          <w:u w:val="none"/>
        </w:rPr>
      </w:pPr>
      <w:r>
        <w:rPr>
          <w:u w:val="none"/>
        </w:rPr>
      </w:r>
    </w:p>
    <w:p>
      <w:pPr>
        <w:pStyle w:val="BodyText"/>
        <w:spacing w:lineRule="auto" w:line="240"/>
        <w:rPr/>
      </w:pPr>
      <w:r>
        <w:rPr/>
        <w:t xml:space="preserve">A. The Commission’s Preliminary Guidance on Delegation of RTO Requirements in Hybrid RTOs Has Established Various General Guidelines for the Evaluation of ITC Proposals  </w:t>
      </w:r>
    </w:p>
    <w:p>
      <w:pPr>
        <w:pStyle w:val="Normal"/>
        <w:spacing w:lineRule="auto" w:line="480"/>
        <w:rPr>
          <w:b/>
          <w:bCs/>
          <w:u w:val="single"/>
        </w:rPr>
      </w:pPr>
      <w:r>
        <w:rPr>
          <w:b/>
          <w:bCs/>
          <w:u w:val="single"/>
        </w:rPr>
      </w:r>
    </w:p>
    <w:p>
      <w:pPr>
        <w:pStyle w:val="Normal"/>
        <w:spacing w:lineRule="auto" w:line="480"/>
        <w:rPr/>
      </w:pPr>
      <w:r>
        <w:rPr/>
        <w:t xml:space="preserve">Order No. 2000 set forth the Commission’s general policy framework regarding RTO structure, and it is well established that issues surrounding organizational form turn in large part on whether a proposed form meets minimum characteristics, functions and other requirements of the Order.  Order No. 2000, slip op. at 124.  The Commission clarified that it would entertain appropriate tiered or other structures to perform RTO functions, so long as the RTO itself remained responsible for ensuring that the requirements are met in a way that satisfies the requirements of the Order.  Order No. 2000, slip op. at 126.  </w:t>
      </w:r>
    </w:p>
    <w:p>
      <w:pPr>
        <w:pStyle w:val="Normal"/>
        <w:spacing w:lineRule="auto" w:line="480"/>
        <w:rPr/>
      </w:pPr>
      <w:r>
        <w:rPr/>
      </w:r>
    </w:p>
    <w:p>
      <w:pPr>
        <w:pStyle w:val="Normal"/>
        <w:spacing w:lineRule="auto" w:line="480"/>
        <w:rPr/>
      </w:pPr>
      <w:r>
        <w:rPr/>
        <w:t xml:space="preserve">Subsequently, in its consideration of a proposed structure for an RTO that envisioned the coupling of an independent transmission company (ITC) with oversight by the Midwest ISO (MISO), the Commission acknowledged that such an approach might satisfy Order No. 2000’s goal of increased regionalization of the grid, but reserved judgment pending review of details to be provided in subsequent filings.  </w:t>
      </w:r>
      <w:r>
        <w:rPr>
          <w:i/>
          <w:iCs/>
        </w:rPr>
        <w:t>Commonwealth Edison Company</w:t>
      </w:r>
      <w:r>
        <w:rPr/>
        <w:t xml:space="preserve">, pp. 2-3.  That Order provided guidance on a variety of issues regarding the Commission’s conditions for the approval of ITC proposals, including independence of ITC governance and structure; ITC size and scope; accountability among hierarchical entities; ITC tariff administration rights; regional congestion management mechanisms; the need for establishment of regional ancillary markets; and the importance of coordinating transmission planning and expansion to assure region-wide efficiencies.  The Commission noted that any such proposal must, among other things, provide clarity about the decisional process within the RTO and accountability among the entities that constitute such an RTO.” (cite, pp. 9-10).  </w:t>
      </w:r>
    </w:p>
    <w:p>
      <w:pPr>
        <w:pStyle w:val="Normal"/>
        <w:spacing w:lineRule="auto" w:line="480"/>
        <w:rPr/>
      </w:pPr>
      <w:r>
        <w:rPr/>
      </w:r>
    </w:p>
    <w:p>
      <w:pPr>
        <w:pStyle w:val="Normal"/>
        <w:spacing w:lineRule="auto" w:line="480"/>
        <w:rPr/>
      </w:pPr>
      <w:r>
        <w:rPr/>
        <w:t xml:space="preserve">The </w:t>
      </w:r>
      <w:r>
        <w:rPr>
          <w:i/>
          <w:iCs/>
        </w:rPr>
        <w:t>Commonwealth Edison</w:t>
      </w:r>
      <w:r>
        <w:rPr/>
        <w:t xml:space="preserve"> order also conditionally accepted the Midwest ISO’s Appendix I, noting that Appendix I clearly identifies which functions may be assigned to the ITC.  In accepting Appendix I, the Commission reiterated that prior to assuming Appendix I functions,</w:t>
      </w:r>
    </w:p>
    <w:p>
      <w:pPr>
        <w:pStyle w:val="BodyTextIndent"/>
        <w:rPr/>
      </w:pPr>
      <w:r>
        <w:rPr/>
        <w:t>[an] ITC will be required to demonstrate that its own governance and structure is independent from any market participant and demonstrate that the ITC is of sufficent size and configuration to assume such functions from the Midwest ISO. (cite page 30)</w:t>
      </w:r>
    </w:p>
    <w:p>
      <w:pPr>
        <w:pStyle w:val="BodyTextIndent"/>
        <w:rPr/>
      </w:pPr>
      <w:r>
        <w:rPr/>
      </w:r>
    </w:p>
    <w:p>
      <w:pPr>
        <w:pStyle w:val="BodyTextIndent"/>
        <w:spacing w:lineRule="auto" w:line="480"/>
        <w:ind w:start="0" w:end="0"/>
        <w:rPr/>
      </w:pPr>
      <w:r>
        <w:rPr/>
        <w:t>Elsewhere in Order No. 2000 the Commission specified certain “Regional Configuration Factors” for which demonstration of sufficient scope and configuration should be warranted, including making accurate and reliable ATC determinations; resolving loop flow issues; managing transission congestion; improving operations (e.g. better allocation of scarcity as regional transmission demand is assessed; reserving and scheduling transmisison use over a larger area); and coordinating transmission expansion.  (page 255).</w:t>
      </w:r>
    </w:p>
    <w:p>
      <w:pPr>
        <w:pStyle w:val="BodyTextIndent"/>
        <w:rPr/>
      </w:pPr>
      <w:r>
        <w:rPr/>
      </w:r>
    </w:p>
    <w:p>
      <w:pPr>
        <w:pStyle w:val="Normal"/>
        <w:spacing w:lineRule="auto" w:line="480"/>
        <w:rPr/>
      </w:pPr>
      <w:r>
        <w:rPr/>
        <w:t xml:space="preserve">The Commission has also had occasion to comment on several other proposals in Orders responding to requests for determinations that proposed hybrid transmission entities incorporating ITCs, The New England Regional Transmission Organization (NERTO) and RTO West (footnote to reference </w:t>
      </w:r>
      <w:r>
        <w:rPr>
          <w:i/>
          <w:iCs/>
        </w:rPr>
        <w:t>Bangor Hydro-Elec. Co., et al,</w:t>
      </w:r>
      <w:r>
        <w:rPr/>
        <w:t xml:space="preserve"> 96 FERC 61,063 and </w:t>
      </w:r>
      <w:r>
        <w:rPr>
          <w:i/>
          <w:iCs/>
        </w:rPr>
        <w:t>Avista Corp. et al</w:t>
      </w:r>
      <w:r>
        <w:rPr/>
        <w:t>., 96 FERC 61,058 and 95 FERC 61,114) satisfy the requirements of Order No. 2000.  In each instance, the Commission provided additional guidance regarding the manner in which hybrid transmission entities incorporating ITCs may coordinate functionally in order to satisfy Order No 2000 requirements.  In</w:t>
      </w:r>
      <w:r>
        <w:rPr>
          <w:i/>
          <w:iCs/>
        </w:rPr>
        <w:t xml:space="preserve"> Bangor Hydro-Elec. Co. et al., </w:t>
      </w:r>
      <w:r>
        <w:rPr/>
        <w:t xml:space="preserve">the Commission clarified its position on the independence crieterion, while in </w:t>
      </w:r>
      <w:r>
        <w:rPr>
          <w:i/>
          <w:iCs/>
        </w:rPr>
        <w:t>Avista Corp. et al</w:t>
      </w:r>
      <w:r>
        <w:rPr/>
        <w:t xml:space="preserve">., the Commission provided preliminary guidance with respect to TransConnect’s proposed governance structure, its proposal to file rates unilaterally, and its proposed transmission planning and expansion function.  While in each of these proceedings the Commission has provided only preliminary guidance, and has reserved any final approvals until details of the respective proposals have been completed and submitted for filing, the Commission’s findings have clarified some of the standards by which any detailed proposals for the coordination of RTO functions in hybrid transmission organizations must be measured.        </w:t>
      </w:r>
    </w:p>
    <w:p>
      <w:pPr>
        <w:pStyle w:val="Normal"/>
        <w:spacing w:lineRule="auto" w:line="480"/>
        <w:rPr/>
      </w:pPr>
      <w:r>
        <w:rPr/>
      </w:r>
    </w:p>
    <w:p>
      <w:pPr>
        <w:pStyle w:val="Normal"/>
        <w:spacing w:lineRule="auto" w:line="480"/>
        <w:rPr/>
      </w:pPr>
      <w:r>
        <w:rPr/>
        <w:t xml:space="preserve">Most recently, in the Mediation Report for the Southeast RTO that was issued to the Commission on September 10, 2001 (cite Docket No. RT01-100-000), the Commission has provided additional recommendations concerning the division of responsibilities between entities comprising a hybrid RTO.  The Collaborative Governance Model recommended in that Report for Commission adoption addresses the general issue of RTO delegation of authority to the ITC, and establishes principles regarding planning and expansion, interconnection procedures, and operational authority that augment  the principles articulated by the Commission in its earlier Orders referenced above.  The following sections of this pleading set forth those guidelines already established or recommended to the Commission in order to establish a cohesive context for consideration of TRANSLink’s Section 203 and Section 205 filings, as well as to identify issues where more specific guidelines for ITC approval are warranted. </w:t>
      </w:r>
    </w:p>
    <w:p>
      <w:pPr>
        <w:pStyle w:val="Normal"/>
        <w:spacing w:lineRule="auto" w:line="480"/>
        <w:rPr/>
      </w:pPr>
      <w:r>
        <w:rPr/>
      </w:r>
    </w:p>
    <w:p>
      <w:pPr>
        <w:pStyle w:val="Normal"/>
        <w:spacing w:lineRule="auto" w:line="480"/>
        <w:rPr/>
      </w:pPr>
      <w:r>
        <w:rPr/>
        <w:t xml:space="preserve">Competitive Coalition respectfully submits that the Commission’s iteration of specific systematic, and comprehensive guidelines for ITC approval is necessary at this time in the interest of administrative efficiency, and to stem a likely tide of “creative” ITC proposals that threaten to balkanize the Midwest as well as other envisioned RTO regions.    As the Commission stated in </w:t>
      </w:r>
      <w:r>
        <w:rPr>
          <w:i/>
          <w:iCs/>
        </w:rPr>
        <w:t>Commonwealth Edison Company et al.</w:t>
      </w:r>
      <w:r>
        <w:rPr/>
        <w:t xml:space="preserve"> and has restated on several subsequent occasions, </w:t>
      </w:r>
    </w:p>
    <w:p>
      <w:pPr>
        <w:pStyle w:val="BodyTextIndent"/>
        <w:rPr/>
      </w:pPr>
      <w:r>
        <w:rPr/>
        <w:t xml:space="preserve">{N]o organizational form will be permitted to reinstate balkanization in the markets under new labels or to deter the establishment of large, coordinated, and workable regional power markets. (Cite Com Ed et al p 10).  </w:t>
      </w:r>
    </w:p>
    <w:p>
      <w:pPr>
        <w:pStyle w:val="BodyTextIndent"/>
        <w:rPr/>
      </w:pPr>
      <w:r>
        <w:rPr/>
      </w:r>
    </w:p>
    <w:p>
      <w:pPr>
        <w:pStyle w:val="BodyTextIndent"/>
        <w:spacing w:lineRule="auto" w:line="480"/>
        <w:ind w:start="0" w:end="0"/>
        <w:rPr/>
      </w:pPr>
      <w:r>
        <w:rPr/>
        <w:t xml:space="preserve">The Commission also acknowledged in that Order intervenors’ concerns regarding the potential undermining of Midwest ISO’s ancillary service markets by partitioning them geographically, agreeing that ancillary services markets work more efficiently in a large region.  (cite </w:t>
      </w:r>
      <w:r>
        <w:rPr>
          <w:i/>
          <w:iCs/>
        </w:rPr>
        <w:t xml:space="preserve">Commonwealth </w:t>
      </w:r>
      <w:r>
        <w:rPr/>
        <w:t xml:space="preserve">page 20).   </w:t>
      </w:r>
    </w:p>
    <w:p>
      <w:pPr>
        <w:pStyle w:val="BodyTextIndent"/>
        <w:spacing w:lineRule="auto" w:line="480"/>
        <w:ind w:start="0" w:end="0"/>
        <w:rPr/>
      </w:pPr>
      <w:r>
        <w:rPr/>
      </w:r>
    </w:p>
    <w:p>
      <w:pPr>
        <w:pStyle w:val="BodyTextIndent"/>
        <w:spacing w:lineRule="auto" w:line="480"/>
        <w:ind w:start="0" w:end="0"/>
        <w:rPr/>
      </w:pPr>
      <w:r>
        <w:rPr/>
        <w:t>Providing additional specific guidance to entities contemplating requests for the Commission’s approval of the division of responsibilities among hybrid RTO entities will advance the Commission’s goals of institutionalizing large, coordinated and workable regional power markets.  Refraining from providing guidance at this time may result in the proliferation of ITC proposals in the Midwest and elsewhere, with each such proposal seeking to dilute those principles previously articulated in the abstract or arguably applicable only in a specific institutional context.  In particular, the Competitive Coalition urges the Commission to establish systematic, comprehensive and detailed guidelines to address the acceptability of ITC proposals regarding Independence; Tariff Administration; Coordination of Operational Control Authority; Regional Congestion Management; and Transmission Planning and Expansion.  While these areas do not comprise the totality of issues clouding the appropriateness of ITC authorization, Commission establishment of detailed guidelines in these areas in these commercially sensitive areas may well sober the musings of transmission owners intent on proposing the “next logical step in this series of regulatory initiatives and responses.” (cite Zibelman testimony page 9).  As the comments below establish, TRANSLinks’s  “logical end-state business model” is the product of pretzel logic at best, a gic premised on the continuing power and authority of transmission owners – owners affiliated in vertically integrated utilities with generation interests – to restrict non-discriminatory, commercially viable open access to users of their transmission systems.</w:t>
      </w:r>
    </w:p>
    <w:p>
      <w:pPr>
        <w:pStyle w:val="BodyTextIndent"/>
        <w:spacing w:lineRule="auto" w:line="480"/>
        <w:ind w:start="0" w:end="0"/>
        <w:rPr>
          <w:b/>
          <w:bCs/>
          <w:u w:val="single"/>
        </w:rPr>
      </w:pPr>
      <w:r>
        <w:rPr>
          <w:b/>
          <w:bCs/>
          <w:u w:val="single"/>
        </w:rPr>
      </w:r>
    </w:p>
    <w:p>
      <w:pPr>
        <w:pStyle w:val="BodyTextIndent"/>
        <w:spacing w:lineRule="auto" w:line="480"/>
        <w:ind w:firstLine="720" w:start="0" w:end="0"/>
        <w:rPr>
          <w:b/>
          <w:bCs/>
          <w:u w:val="single"/>
        </w:rPr>
      </w:pPr>
      <w:r>
        <w:rPr>
          <w:b/>
          <w:bCs/>
          <w:u w:val="single"/>
        </w:rPr>
        <w:t>1. Standards for Evaluating ITC Independence</w:t>
      </w:r>
    </w:p>
    <w:p>
      <w:pPr>
        <w:pStyle w:val="BodyTextIndent"/>
        <w:spacing w:lineRule="auto" w:line="480"/>
        <w:ind w:start="0" w:end="0"/>
        <w:rPr/>
      </w:pPr>
      <w:r>
        <w:rPr/>
        <w:t xml:space="preserve">In Order No. 2000, the Commission set forth a number of principles regarding independence that have been refined in subsequent Orders.  First and most generally, “[a]n RTO must be independent of any entity whose economic or commercial interests could be signicantly affected by the RTO’s actions or decisions.” (cite page 126)  “[A]ny RTO governance proposals, whether from an ISO, transco or hybrid arrangement, will be judged on a case-by-case basis against the overarching standard that its decisionmaking process must be independent of individual market participants and classes of market participants.” (cite page 229).  The Commission clarified that providers of transmission service are deemed market participants (cite page 197).  In clarifying its understanding of “classes of market participants”, the Commission observed that it was </w:t>
      </w:r>
    </w:p>
    <w:p>
      <w:pPr>
        <w:pStyle w:val="BodyTextIndent"/>
        <w:rPr/>
      </w:pPr>
      <w:r>
        <w:rPr/>
        <w:t>unpersuaded by the assertions that similarly situated market participants will not have a “nexus of interests”  While we recognize, for example, that individual generators may actively compete against each other for specific sales, this does not imply that there is a total absence of common economic interests among generators relative to marketers or distributors. (cite page 224)</w:t>
      </w:r>
    </w:p>
    <w:p>
      <w:pPr>
        <w:pStyle w:val="BodyTextIndent"/>
        <w:rPr/>
      </w:pPr>
      <w:r>
        <w:rPr/>
      </w:r>
    </w:p>
    <w:p>
      <w:pPr>
        <w:pStyle w:val="BodyTextIndent"/>
        <w:rPr/>
      </w:pPr>
      <w:r>
        <w:rPr/>
      </w:r>
    </w:p>
    <w:p>
      <w:pPr>
        <w:pStyle w:val="BodyTextIndent"/>
        <w:spacing w:lineRule="auto" w:line="480"/>
        <w:ind w:start="0" w:end="0"/>
        <w:rPr/>
      </w:pPr>
      <w:r>
        <w:rPr/>
        <w:t xml:space="preserve">  </w:t>
      </w:r>
      <w:r>
        <w:rPr/>
        <w:t>Anticipating proposals involving passive ownership, the Commission stated that</w:t>
      </w:r>
    </w:p>
    <w:p>
      <w:pPr>
        <w:pStyle w:val="BodyTextIndent"/>
        <w:rPr/>
      </w:pPr>
      <w:r>
        <w:rPr/>
        <w:t>Passive ownership proposals will be reviewed on a case-by-case basis.  The Commission will approve a proposal only if we are satisfied that the passive owners have relinquished control over operations, investment and other decisions to ensure that the RTO will treat all users of the grid – passive owners and others – on an equal basis in all matters. (cite page 208).</w:t>
      </w:r>
    </w:p>
    <w:p>
      <w:pPr>
        <w:pStyle w:val="BodyTextIndent"/>
        <w:rPr/>
      </w:pPr>
      <w:r>
        <w:rPr/>
      </w:r>
    </w:p>
    <w:p>
      <w:pPr>
        <w:pStyle w:val="BodyTextIndent"/>
        <w:spacing w:lineRule="auto" w:line="480"/>
        <w:ind w:start="0" w:end="0"/>
        <w:rPr/>
      </w:pPr>
      <w:r>
        <w:rPr/>
        <w:t>The independence of the RTO’s decision-making process from passive owners is to be assured by an independent compliance audit, with the audit submitted to FERC in a public document within two years of public approval and every three years thereafter, with no requirement for approval by the RTO board (cite page 209).  The Commission stated that, “in judging any [passive ownership] proposal, our overriding concern is that the arrangements provide a high degree of assurance that those who are not passive owners will have equal access to the services provided by the RTO.”</w:t>
      </w:r>
      <w:r>
        <w:rPr>
          <w:b/>
          <w:bCs/>
        </w:rPr>
        <w:t xml:space="preserve"> </w:t>
      </w:r>
      <w:r>
        <w:rPr/>
        <w:t>(cite page 210)</w:t>
      </w:r>
    </w:p>
    <w:p>
      <w:pPr>
        <w:pStyle w:val="BodyTextIndent"/>
        <w:spacing w:lineRule="auto" w:line="480"/>
        <w:ind w:start="0" w:end="0"/>
        <w:rPr/>
      </w:pPr>
      <w:r>
        <w:rPr/>
      </w:r>
    </w:p>
    <w:p>
      <w:pPr>
        <w:pStyle w:val="BodyTextIndent"/>
        <w:spacing w:lineRule="auto" w:line="480"/>
        <w:ind w:start="0" w:end="0"/>
        <w:rPr/>
      </w:pPr>
      <w:r>
        <w:rPr/>
        <w:t xml:space="preserve">In </w:t>
      </w:r>
      <w:r>
        <w:rPr>
          <w:i/>
          <w:iCs/>
        </w:rPr>
        <w:t>Commonwealth Edison</w:t>
      </w:r>
      <w:r>
        <w:rPr/>
        <w:t xml:space="preserve">, the Commission provided additional guidance to delimit the parameters by which it would assess its RTO independence requirement, noting that an ITC proposal must provide complete information about rights that passive owners have reserved for themselves as owners of the RTO and as providers of transmission facilities and services to the RTO.   </w:t>
      </w:r>
    </w:p>
    <w:p>
      <w:pPr>
        <w:pStyle w:val="BodyTextIndent"/>
        <w:spacing w:lineRule="auto" w:line="480"/>
        <w:ind w:start="0" w:end="0"/>
        <w:rPr/>
      </w:pPr>
      <w:r>
        <w:rPr/>
      </w:r>
    </w:p>
    <w:p>
      <w:pPr>
        <w:pStyle w:val="BodyTextIndent"/>
        <w:spacing w:lineRule="auto" w:line="480"/>
        <w:ind w:start="0" w:end="0"/>
        <w:rPr/>
      </w:pPr>
      <w:r>
        <w:rPr>
          <w:i/>
          <w:iCs/>
        </w:rPr>
        <w:t>Commonwealth Edison</w:t>
      </w:r>
      <w:r>
        <w:rPr/>
        <w:t xml:space="preserve"> also clarified that an ITC’s satisfaction of independence criteria was critical to the acceptability of the proposed division of responsibility for determining the data used in calculating and post final ATC values. (cite page 21).  Petitioners had proposed to supply raw data, including facility ratings, operating guides, andother required assumptions,  for Midwest ISO’s calculatioin of ATC, CBM, and TRM.  The Commission required that any dispute over data or calculated ATC must be resolved by a Commission-approved process.    </w:t>
      </w:r>
    </w:p>
    <w:p>
      <w:pPr>
        <w:pStyle w:val="BodyTextIndent"/>
        <w:spacing w:lineRule="auto" w:line="480"/>
        <w:ind w:start="0" w:end="0"/>
        <w:rPr/>
      </w:pPr>
      <w:r>
        <w:rPr/>
      </w:r>
    </w:p>
    <w:p>
      <w:pPr>
        <w:pStyle w:val="BodyTextIndent"/>
        <w:spacing w:lineRule="auto" w:line="480"/>
        <w:ind w:start="0" w:end="0"/>
        <w:rPr/>
      </w:pPr>
      <w:r>
        <w:rPr/>
        <w:t xml:space="preserve">In </w:t>
      </w:r>
      <w:r>
        <w:rPr>
          <w:i/>
          <w:iCs/>
        </w:rPr>
        <w:t xml:space="preserve"> Bangor Hydro-Elec. Co. et al., </w:t>
      </w:r>
      <w:r>
        <w:rPr/>
        <w:t xml:space="preserve"> the Commission noted that </w:t>
      </w:r>
      <w:r>
        <w:rPr>
          <w:u w:val="single"/>
        </w:rPr>
        <w:t>each component</w:t>
      </w:r>
      <w:r>
        <w:rPr/>
        <w:t xml:space="preserve"> of a hybrid RTO that is relied upon to satisfy any of the characteristics or functions must itself be independent from market participants. (emphasis added) (cite page 7).</w:t>
      </w:r>
    </w:p>
    <w:p>
      <w:pPr>
        <w:pStyle w:val="BodyTextIndent"/>
        <w:spacing w:lineRule="auto" w:line="480"/>
        <w:ind w:firstLine="720" w:start="0" w:end="0"/>
        <w:rPr>
          <w:b/>
          <w:bCs/>
          <w:u w:val="single"/>
        </w:rPr>
      </w:pPr>
      <w:r>
        <w:rPr>
          <w:b/>
          <w:bCs/>
          <w:u w:val="single"/>
        </w:rPr>
      </w:r>
    </w:p>
    <w:p>
      <w:pPr>
        <w:pStyle w:val="BodyTextIndent"/>
        <w:spacing w:lineRule="auto" w:line="480"/>
        <w:ind w:firstLine="720" w:start="0" w:end="0"/>
        <w:rPr>
          <w:b/>
          <w:bCs/>
          <w:u w:val="single"/>
        </w:rPr>
      </w:pPr>
      <w:r>
        <w:rPr>
          <w:b/>
          <w:bCs/>
          <w:u w:val="single"/>
        </w:rPr>
        <w:t>2. Tariff Administration</w:t>
      </w:r>
    </w:p>
    <w:p>
      <w:pPr>
        <w:pStyle w:val="BodyTextIndent"/>
        <w:spacing w:lineRule="auto" w:line="480"/>
        <w:ind w:start="0" w:end="0"/>
        <w:rPr/>
      </w:pPr>
      <w:r>
        <w:rPr/>
        <w:t xml:space="preserve">The Commission stated unequivocally in Order No. 2000 that </w:t>
      </w:r>
    </w:p>
    <w:p>
      <w:pPr>
        <w:pStyle w:val="BodyTextIndent"/>
        <w:rPr/>
      </w:pPr>
      <w:r>
        <w:rPr/>
        <w:t>The RTO [must] be the sole provide of transmission service and the sole administrator of its own open access tariff.  Included in this is the requirement that the RTO have the sole authority for the evaluation and approval of all requests for transmission service including requests for new interconnections….Mere monitoring and dispute resolution are insufficient to meet the requirements of this standard (cite page 330)</w:t>
      </w:r>
    </w:p>
    <w:p>
      <w:pPr>
        <w:pStyle w:val="BodyTextIndent"/>
        <w:ind w:start="0" w:end="0"/>
        <w:rPr/>
      </w:pPr>
      <w:r>
        <w:rPr/>
      </w:r>
    </w:p>
    <w:p>
      <w:pPr>
        <w:pStyle w:val="BodyTextIndent"/>
        <w:spacing w:lineRule="auto" w:line="480"/>
        <w:ind w:start="0" w:end="0"/>
        <w:rPr/>
      </w:pPr>
      <w:r>
        <w:rPr/>
        <w:t xml:space="preserve">The Commission went on to reject the proposal that an RTO administer the standard open access tariffs of transmission owners, stating that “[t]o provide truly independent and non-discriminatory transmission service, the RTO must administer its own tariff and have the independent authority to file tariff changes.” (cite page 331).  The Commission identified the ability of users </w:t>
      </w:r>
    </w:p>
    <w:p>
      <w:pPr>
        <w:pStyle w:val="BodyTextIndent"/>
        <w:rPr/>
      </w:pPr>
      <w:r>
        <w:rPr/>
        <w:t xml:space="preserve">to move power anywhere within the RTO “at a single rate and </w:t>
      </w:r>
      <w:r>
        <w:rPr>
          <w:b/>
          <w:bCs/>
        </w:rPr>
        <w:t>under a single set</w:t>
      </w:r>
      <w:r>
        <w:rPr/>
        <w:t xml:space="preserve"> </w:t>
      </w:r>
      <w:r>
        <w:rPr>
          <w:b/>
          <w:bCs/>
        </w:rPr>
        <w:t>of terms and conditions</w:t>
      </w:r>
      <w:r>
        <w:rPr/>
        <w:t>” as “one of the fundamental benefits that is envisions by the Rule”.  (emphasis added) (cite page 393)</w:t>
      </w:r>
    </w:p>
    <w:p>
      <w:pPr>
        <w:pStyle w:val="BodyTextIndent"/>
        <w:rPr/>
      </w:pPr>
      <w:r>
        <w:rPr/>
      </w:r>
    </w:p>
    <w:p>
      <w:pPr>
        <w:pStyle w:val="BodyTextIndent"/>
        <w:spacing w:lineRule="auto" w:line="480"/>
        <w:ind w:start="0" w:end="0"/>
        <w:rPr/>
      </w:pPr>
      <w:r>
        <w:rPr/>
      </w:r>
    </w:p>
    <w:p>
      <w:pPr>
        <w:pStyle w:val="BodyTextIndent"/>
        <w:spacing w:lineRule="auto" w:line="480"/>
        <w:ind w:start="0" w:end="0"/>
        <w:rPr/>
      </w:pPr>
      <w:r>
        <w:rPr/>
        <w:t>The Commission also established an unambiguous position in Order No. 2000 regarding the calculation and posting of ATC values.  The Commission found that</w:t>
      </w:r>
    </w:p>
    <w:p>
      <w:pPr>
        <w:pStyle w:val="BodyTextIndent"/>
        <w:rPr/>
      </w:pPr>
      <w:r>
        <w:rPr/>
        <w:t>[a]n RTO should operate at what the NOPR characterizes as Level 3 for ATC/TTC calculations, which requires the RTO itself to calculate ATC values based on data developed partiallly or totally by the RTO….When data are supplied by other, the RTO must create a system for tests and checks that ensure customers of coordinated and unbiased data. (cite pages 432-433)</w:t>
      </w:r>
    </w:p>
    <w:p>
      <w:pPr>
        <w:pStyle w:val="BodyTextIndent"/>
        <w:rPr/>
      </w:pPr>
      <w:r>
        <w:rPr/>
      </w:r>
    </w:p>
    <w:p>
      <w:pPr>
        <w:pStyle w:val="BodyTextIndent"/>
        <w:ind w:start="0" w:end="0"/>
        <w:rPr/>
      </w:pPr>
      <w:r>
        <w:rPr/>
        <w:t>Addressing the subject of facilities ratings, the Commission also encouraged that such ratings:</w:t>
      </w:r>
    </w:p>
    <w:p>
      <w:pPr>
        <w:pStyle w:val="BodyTextIndent"/>
        <w:ind w:start="0" w:end="0"/>
        <w:rPr/>
      </w:pPr>
      <w:r>
        <w:rPr/>
      </w:r>
    </w:p>
    <w:p>
      <w:pPr>
        <w:pStyle w:val="BodyTextIndent"/>
        <w:rPr/>
      </w:pPr>
      <w:r>
        <w:rPr/>
        <w:t>Be determined, to the extent practical, by mutual consent of the transmission owner and the RTO….[a]s an RTO gains experience operating or directing the operatioin of the transmission faciliites in its region, we expect this responsibility to migrate to the RTO, as facility ratings have at least an indirect effect on the ability of the RTO to perform other RTO minimum functions (</w:t>
      </w:r>
      <w:r>
        <w:rPr>
          <w:u w:val="single"/>
        </w:rPr>
        <w:t>e.g</w:t>
      </w:r>
      <w:r>
        <w:rPr/>
        <w:t>. planning and expansion, ATC, and TTC). (cite pages 322-323)</w:t>
      </w:r>
    </w:p>
    <w:p>
      <w:pPr>
        <w:pStyle w:val="BodyTextIndent"/>
        <w:spacing w:lineRule="auto" w:line="480"/>
        <w:ind w:start="0" w:end="0"/>
        <w:rPr>
          <w:b/>
          <w:bCs/>
        </w:rPr>
      </w:pPr>
      <w:r>
        <w:rPr>
          <w:b/>
          <w:bCs/>
        </w:rPr>
      </w:r>
    </w:p>
    <w:p>
      <w:pPr>
        <w:pStyle w:val="BodyTextIndent"/>
        <w:spacing w:lineRule="auto" w:line="480"/>
        <w:ind w:start="0" w:end="0"/>
        <w:rPr/>
      </w:pPr>
      <w:r>
        <w:rPr/>
        <w:t xml:space="preserve">In </w:t>
      </w:r>
      <w:r>
        <w:rPr>
          <w:i/>
          <w:iCs/>
        </w:rPr>
        <w:t xml:space="preserve">Commonwealth Edison, </w:t>
      </w:r>
      <w:r>
        <w:rPr/>
        <w:t>the Commission was considering a proposal for petitioners to file with the Commission and adminster rate schedules within the Midwest ISO’s open access transmission tariff.  It is this context in which the Commission determined that “it may be appropriate for an RTO to assign tariff adminstration responsibility [to an ITC]”. (cite page 16).  In that limited context, one in which scheduling and operating protocols were not yet developed, the Commission found that its decisioin on whether such responsibility should be assinged to the ITC by the Midwest ISO would depend in part on such protocols. (cite page 16)</w:t>
      </w:r>
    </w:p>
    <w:p>
      <w:pPr>
        <w:pStyle w:val="BodyTextIndent"/>
        <w:spacing w:lineRule="auto" w:line="480"/>
        <w:ind w:start="0" w:end="0"/>
        <w:rPr/>
      </w:pPr>
      <w:r>
        <w:rPr/>
      </w:r>
    </w:p>
    <w:p>
      <w:pPr>
        <w:pStyle w:val="BodyTextIndent"/>
        <w:spacing w:lineRule="auto" w:line="480"/>
        <w:ind w:start="0" w:end="0"/>
        <w:rPr/>
      </w:pPr>
      <w:r>
        <w:rPr/>
        <w:t xml:space="preserve">The Commission also conditionally accepted the Midwest ISO’s Appendix I in </w:t>
      </w:r>
      <w:r>
        <w:rPr>
          <w:i/>
          <w:iCs/>
        </w:rPr>
        <w:t>Commonwealth Edison</w:t>
      </w:r>
      <w:r>
        <w:rPr/>
        <w:t xml:space="preserve">.   Appendix I Tariff Administration provisions were among those endorsed by the Commission. (cite Appendix I, Original Sheet No. 214-215).  Those provisions establish that customers will receive transmission service under a single Midwest ISO Tariff which will apply to transmission service over the entire Midwest ISO (including the ITC), and the Midwest ISO will execute service and study agreementts with customers.  While the ITC is authorized to assume responsibility for certain system impact or other studies that may be required, that right is subject to coordination with the Midwest ISO.   The Tariff Administration provisions of Appendix I also provide that the Midwest ISO shall administer ATC calculation and shall caluclate CBM and TRM, and that customers will schedule through processes established by the Midwest ISO.  Appendix I also establishes that, with the exception of an ITC imposing and collecting FERC-approved penalties for an ITC’s congestion management program, the Midwest ISO is responsible for imposing and collecting penalties associated with tariff violations. (cite Appendix I Original Sheet No. 217).   </w:t>
      </w:r>
    </w:p>
    <w:p>
      <w:pPr>
        <w:pStyle w:val="BodyTextIndent"/>
        <w:spacing w:lineRule="auto" w:line="480"/>
        <w:ind w:start="0" w:end="0"/>
        <w:rPr/>
      </w:pPr>
      <w:r>
        <w:rPr/>
      </w:r>
    </w:p>
    <w:p>
      <w:pPr>
        <w:pStyle w:val="BodyTextIndent"/>
        <w:spacing w:lineRule="auto" w:line="480"/>
        <w:ind w:start="0" w:end="0"/>
        <w:rPr/>
      </w:pPr>
      <w:r>
        <w:rPr/>
        <w:t xml:space="preserve">In </w:t>
      </w:r>
      <w:r>
        <w:rPr>
          <w:i/>
          <w:iCs/>
        </w:rPr>
        <w:t>Avista Corporation et al</w:t>
      </w:r>
      <w:r>
        <w:rPr/>
        <w:t xml:space="preserve">., the Commission affirmed the authority of the TransConnect ITC to propose rate incentive mechanisms, but so doing stressed that Order No. 2000 requires RTO West, as the sole administrator of the tariff for the entire region, to have exclusive authority to file the rates for service under that tariff. (cite pages 35-36) In situatioins where the ITC’s incentive proposals conflict with the RTO’s established tariff requirements, the RTO, as the exclusive administrator of its tariff, must retain the ability to reconcile differences in such proposals with its tariff design. (cite page 37).  Finally in this regard, the Commission noted that </w:t>
      </w:r>
    </w:p>
    <w:p>
      <w:pPr>
        <w:pStyle w:val="BodyTextIndent"/>
        <w:rPr/>
      </w:pPr>
      <w:r>
        <w:rPr/>
        <w:t xml:space="preserve"> </w:t>
      </w:r>
      <w:r>
        <w:rPr/>
        <w:t xml:space="preserve">Transmission owners can make…revenue requirement filings unilaterally to the commission where they cannot reach consensus with RTO West.  Ulitmately, however, once a particular revenue requirement is approved by the Commisison, it is the responsibility RTO West, as the sole adminstrator of the transmission tariff for the region, to incorporate the revenue requirements of each of its members (including any innovative rate proposal by transmission owners who have elecgted to become independent of market participants) into </w:t>
      </w:r>
      <w:r>
        <w:rPr>
          <w:b/>
          <w:bCs/>
        </w:rPr>
        <w:t>a single, cohesive transmission tariff it will administer for the region</w:t>
      </w:r>
      <w:r>
        <w:rPr/>
        <w:t xml:space="preserve">  (empahsis added) (cite page 37)</w:t>
      </w:r>
    </w:p>
    <w:p>
      <w:pPr>
        <w:pStyle w:val="BodyTextIndent"/>
        <w:rPr/>
      </w:pPr>
      <w:r>
        <w:rPr/>
      </w:r>
    </w:p>
    <w:p>
      <w:pPr>
        <w:pStyle w:val="BodyTextIndent"/>
        <w:ind w:start="0" w:end="0"/>
        <w:rPr/>
      </w:pPr>
      <w:r>
        <w:rPr/>
      </w:r>
    </w:p>
    <w:p>
      <w:pPr>
        <w:pStyle w:val="BodyTextIndent"/>
        <w:spacing w:lineRule="auto" w:line="480"/>
        <w:ind w:start="0" w:end="0"/>
        <w:rPr/>
      </w:pPr>
      <w:r>
        <w:rPr/>
        <w:t>Recommendations to the Commission in Mediation Report for the Southeast RTO are generally consistent with the above.  Therein, it is noted that the ITC would have the authority under the recommended Collaborative Governance Model to file for incentive rates, but that the ITC would not have the authority to change the rates or the rate design charged by the RTO, including for transmission over ITC facilities. (cite page 22)</w:t>
      </w:r>
    </w:p>
    <w:p>
      <w:pPr>
        <w:pStyle w:val="BodyTextIndent"/>
        <w:ind w:firstLine="720" w:start="0" w:end="0"/>
        <w:rPr>
          <w:b/>
          <w:bCs/>
          <w:u w:val="single"/>
        </w:rPr>
      </w:pPr>
      <w:r>
        <w:rPr>
          <w:b/>
          <w:bCs/>
          <w:u w:val="single"/>
        </w:rPr>
      </w:r>
    </w:p>
    <w:p>
      <w:pPr>
        <w:pStyle w:val="BodyTextIndent"/>
        <w:ind w:firstLine="720" w:start="0" w:end="0"/>
        <w:rPr>
          <w:b/>
          <w:bCs/>
          <w:u w:val="single"/>
        </w:rPr>
      </w:pPr>
      <w:r>
        <w:rPr>
          <w:b/>
          <w:bCs/>
          <w:u w:val="single"/>
        </w:rPr>
        <w:t xml:space="preserve">3. Coordination of Operational Control Authority </w:t>
      </w:r>
    </w:p>
    <w:p>
      <w:pPr>
        <w:pStyle w:val="BodyTextIndent"/>
        <w:ind w:start="0" w:end="0"/>
        <w:rPr>
          <w:b/>
          <w:bCs/>
          <w:u w:val="single"/>
        </w:rPr>
      </w:pPr>
      <w:r>
        <w:rPr>
          <w:b/>
          <w:bCs/>
          <w:u w:val="single"/>
        </w:rPr>
      </w:r>
    </w:p>
    <w:p>
      <w:pPr>
        <w:pStyle w:val="BodyTextIndent"/>
        <w:spacing w:lineRule="auto" w:line="480"/>
        <w:ind w:start="0" w:end="0"/>
        <w:rPr/>
      </w:pPr>
      <w:r>
        <w:rPr/>
        <w:t xml:space="preserve">Addressing its willingness to entertain proposals for various RTO organizational structures, the Commission noted in Order No. 2000 that its acceptance of any form is conditioned upon the RTO meeting the Rule’s minimum characteristics and functions and other requirements, and that its consideration of various structures is tempered by the requirement “that the RTO be responsible for ensuring that the [Order 2000] requirements are met in a way that satisfies our Rule.” (cite page 126)  Anticipating arrangements whereby control area operators may remain employees of control center owners, the Commission acknowledged that such operators could remain employees of the control center owner, </w:t>
      </w:r>
      <w:r>
        <w:rPr>
          <w:b/>
          <w:bCs/>
        </w:rPr>
        <w:t xml:space="preserve">while being supervised by RTO personnel </w:t>
      </w:r>
      <w:r>
        <w:rPr/>
        <w:t xml:space="preserve">(emphasis added; cite page 281); but that </w:t>
      </w:r>
    </w:p>
    <w:p>
      <w:pPr>
        <w:pStyle w:val="BodyTextIndent"/>
        <w:rPr/>
      </w:pPr>
      <w:r>
        <w:rPr/>
        <w:t>“</w:t>
      </w:r>
      <w:r>
        <w:rPr/>
        <w:t>regardless of the method of control chosen, the RTO must have clear authority to direct all actions that affect the facilities under its control, inclouding the decisions and actions taken at any satellite control centers.  The system of operational control chosen must ensure reliable operation of the grid and non-discriminatory access to the grid by all market participants (cite page 282)</w:t>
      </w:r>
    </w:p>
    <w:p>
      <w:pPr>
        <w:pStyle w:val="BodyTextIndent"/>
        <w:rPr/>
      </w:pPr>
      <w:r>
        <w:rPr/>
      </w:r>
    </w:p>
    <w:p>
      <w:pPr>
        <w:pStyle w:val="BodyTextIndent"/>
        <w:spacing w:lineRule="auto" w:line="480"/>
        <w:ind w:start="0" w:end="0"/>
        <w:rPr/>
      </w:pPr>
      <w:r>
        <w:rPr/>
        <w:t>The Commission also determined that the RTO must have “exclusive authority for receiving, confirming and implementing all interchange schedules”, and that “ [i]f the RTO structure includes control area operators who are market participants or affiliated with market participants, the RTO will have the authority to direct the implementation of all interchange schedules.” (cite page 317)  With regard to RTO scope, the Commissioin stated that “scope must be large enough to achieve the regulatory, reliability, operation and competitive objectives of this Rule (cite page 257).</w:t>
      </w:r>
    </w:p>
    <w:p>
      <w:pPr>
        <w:pStyle w:val="BodyTextIndent"/>
        <w:spacing w:lineRule="auto" w:line="480"/>
        <w:ind w:start="0" w:end="0"/>
        <w:rPr>
          <w:b/>
          <w:bCs/>
          <w:i/>
          <w:i/>
          <w:iCs/>
          <w:u w:val="single"/>
        </w:rPr>
      </w:pPr>
      <w:r>
        <w:rPr>
          <w:b/>
          <w:bCs/>
          <w:i/>
          <w:iCs/>
          <w:u w:val="single"/>
        </w:rPr>
      </w:r>
    </w:p>
    <w:p>
      <w:pPr>
        <w:pStyle w:val="BodyTextIndent"/>
        <w:spacing w:lineRule="auto" w:line="480"/>
        <w:ind w:start="0" w:end="0"/>
        <w:rPr/>
      </w:pPr>
      <w:r>
        <w:rPr>
          <w:i/>
          <w:iCs/>
        </w:rPr>
        <w:t>In Commonwealth Edison</w:t>
      </w:r>
      <w:r>
        <w:rPr/>
        <w:t xml:space="preserve">, the Commission explained that assigning “primary” operational authority to the ITC should not conflict with Order No. 2000 requirements, provided that “an actual ITC filing meets the independence and scope requirements of Order No. 2000.” (cite page 13)  The Commission also identified the ITC scope requirement as a prerequisite condition for meeting the Short-Term Reliability minimum requirement (cite page 14), as well as the ability of any approach to correct unacceptable parallel path flows (cite page 19).  Midwest ISO Appendix I, conditionally approved in Commonwealth Edison, also establishes with respect to operations that the ITC shall coordinate transmission maintenance and outage schedules with the Midwest ISO, and  that such schedules are subject to dispute resolution if the Midwest ISO disagrees.    </w:t>
      </w:r>
    </w:p>
    <w:p>
      <w:pPr>
        <w:pStyle w:val="BodyTextIndent"/>
        <w:spacing w:lineRule="auto" w:line="480"/>
        <w:ind w:start="0" w:end="0"/>
        <w:rPr/>
      </w:pPr>
      <w:r>
        <w:rPr/>
      </w:r>
    </w:p>
    <w:p>
      <w:pPr>
        <w:pStyle w:val="BodyTextIndent"/>
        <w:spacing w:lineRule="auto" w:line="480"/>
        <w:ind w:start="0" w:end="0"/>
        <w:rPr/>
      </w:pPr>
      <w:r>
        <w:rPr/>
        <w:t>Recommendations to the Commission regarding ITC authority over operations are set forth in the Mediation Report for the Southeast RTO, Docket No. RT01-100-000:</w:t>
      </w:r>
    </w:p>
    <w:p>
      <w:pPr>
        <w:pStyle w:val="BodyTextIndent"/>
        <w:rPr/>
      </w:pPr>
      <w:r>
        <w:rPr/>
        <w:t xml:space="preserve">The ITC will not be delegated any greater operating authority than other transmission owners that serve as control area operators.  Instead the ITC will be subject to the same provisions that are applicable to all Control Area Operators under the proposed Operating Protocol. (cite p. 22)  </w:t>
      </w:r>
    </w:p>
    <w:p>
      <w:pPr>
        <w:pStyle w:val="BodyTextIndent"/>
        <w:spacing w:lineRule="auto" w:line="480"/>
        <w:ind w:start="0" w:end="0"/>
        <w:rPr/>
      </w:pPr>
      <w:r>
        <w:rPr/>
      </w:r>
    </w:p>
    <w:p>
      <w:pPr>
        <w:pStyle w:val="BodyTextIndent"/>
        <w:spacing w:lineRule="auto" w:line="480"/>
        <w:ind w:start="0" w:end="0"/>
        <w:rPr/>
      </w:pPr>
      <w:r>
        <w:rPr/>
        <w:t xml:space="preserve">  </w:t>
      </w:r>
    </w:p>
    <w:p>
      <w:pPr>
        <w:pStyle w:val="BodyTextIndent"/>
        <w:spacing w:lineRule="auto" w:line="480"/>
        <w:ind w:firstLine="720" w:start="0" w:end="0"/>
        <w:rPr>
          <w:b/>
          <w:bCs/>
          <w:u w:val="single"/>
        </w:rPr>
      </w:pPr>
      <w:r>
        <w:rPr>
          <w:b/>
          <w:bCs/>
          <w:u w:val="single"/>
        </w:rPr>
        <w:t>4. Regional Congestion Management</w:t>
      </w:r>
    </w:p>
    <w:p>
      <w:pPr>
        <w:pStyle w:val="BodyTextIndent"/>
        <w:spacing w:lineRule="auto" w:line="480"/>
        <w:ind w:start="0" w:end="0"/>
        <w:rPr/>
      </w:pPr>
      <w:r>
        <w:rPr/>
        <w:t>The Commission determined  in Order No. 2000 that market mechanisms for managing congestion are required to be implemented by an RTO within one year of start-up (cite page 386), and that effective protocols for managing congestion and preserving reliability must be in place upon start-up. Responsibility for operating the market mechanisms is required to reside with the RTO itsself or with another entity not affiliated with any market participant. The Commission also noted that use of such mechanisms “must necessarily be closely coordinated with the operational activities that the RTO performs on a day-to-day and, in many cases, moment-to-moment basis.” (cite page 386).  The Commission also noted that effective management of transmission congestion is in part a function of the sufficient scope and configuration of the transmission congestion managing entity. (cite page 255)</w:t>
      </w:r>
    </w:p>
    <w:p>
      <w:pPr>
        <w:pStyle w:val="BodyTextIndent"/>
        <w:spacing w:lineRule="auto" w:line="480"/>
        <w:ind w:start="0" w:end="0"/>
        <w:rPr/>
      </w:pPr>
      <w:r>
        <w:rPr/>
      </w:r>
    </w:p>
    <w:p>
      <w:pPr>
        <w:pStyle w:val="BodyTextIndent"/>
        <w:spacing w:lineRule="auto" w:line="480"/>
        <w:ind w:start="0" w:end="0"/>
        <w:rPr/>
      </w:pPr>
      <w:r>
        <w:rPr/>
        <w:t xml:space="preserve">In </w:t>
      </w:r>
      <w:r>
        <w:rPr>
          <w:i/>
          <w:iCs/>
        </w:rPr>
        <w:t>Commonwealth Edison</w:t>
      </w:r>
      <w:r>
        <w:rPr/>
        <w:t xml:space="preserve">, petitioners proposed that the ITC would operate its own  market-based congestion management system.  The Commission deferred a determination on the proposal until such time as petitioners submitted a 205 filing, but stated that it shared many concerns raised by intervenors about the potential balkanization of the Midwest ISO region.  As such, it encouraged that a congestion management plan be developed for adoption by the broader region. (cite page 18)  In conditionally accepting Midwest ISO Appendix I for filing, the Commission also authorized an ITC to unilaterally file at FERC, without Midwest ISO approval, a mechanism for congestion management for constraints with the ITC, although such filing is to be proceeded by reasonalbe efforts if the ITC and the Midwest ISO to reach agreement on the filing.  The Commission required that any such mechanism should not operate in instances where its operation would cause a material adverse effect upon the Midwest ISO transmission system outside of the ITC or upon the users of the system, and that protocols detaling “when the Midwest ISO and ITC congestion management mechanisms would operate” (cite Appendix I, Original Sheet 213-214).  </w:t>
      </w:r>
    </w:p>
    <w:p>
      <w:pPr>
        <w:pStyle w:val="BodyTextIndent"/>
        <w:spacing w:lineRule="auto" w:line="480"/>
        <w:ind w:start="0" w:end="0"/>
        <w:rPr/>
      </w:pPr>
      <w:r>
        <w:rPr/>
      </w:r>
    </w:p>
    <w:p>
      <w:pPr>
        <w:pStyle w:val="BodyTextIndent"/>
        <w:spacing w:lineRule="auto" w:line="480"/>
        <w:ind w:firstLine="720" w:start="0" w:end="0"/>
        <w:rPr>
          <w:b/>
          <w:bCs/>
          <w:u w:val="single"/>
        </w:rPr>
      </w:pPr>
      <w:r>
        <w:rPr>
          <w:b/>
          <w:bCs/>
          <w:u w:val="single"/>
        </w:rPr>
        <w:t>5. Transmission Planning and Expansion</w:t>
      </w:r>
    </w:p>
    <w:p>
      <w:pPr>
        <w:pStyle w:val="BodyTextIndent"/>
        <w:spacing w:lineRule="auto" w:line="480"/>
        <w:ind w:start="0" w:end="0"/>
        <w:rPr/>
      </w:pPr>
      <w:r>
        <w:rPr/>
        <w:t>The Commission noted in Order No. 2000 that appropriate transmission  planning and coordination practices are a function of the planning entity’s scope and configuration. (cite page 255).  The Commission provides unambiguous requirements for the transmission and planning function, stating that the RTO</w:t>
      </w:r>
    </w:p>
    <w:p>
      <w:pPr>
        <w:pStyle w:val="BodyTextIndent"/>
        <w:rPr/>
      </w:pPr>
      <w:r>
        <w:rPr/>
        <w:t>Must have ultimate responsibility for both transmission palnning and expansion within its region that will provide efficient, reliable and non-discriminatory service and coordinate such efforts with the appropriate state authorities…a single entity must coordinate these actions to ensure a least cost outcome that maintains or improves existing reliability levels.  In the absence of a single entity performing these functions, there is a danger that separate transmission investments will work at corss-purposes and hurt reliability. (cite page 486)</w:t>
      </w:r>
    </w:p>
    <w:p>
      <w:pPr>
        <w:pStyle w:val="BodyTextIndent"/>
        <w:spacing w:lineRule="auto" w:line="480"/>
        <w:rPr/>
      </w:pPr>
      <w:r>
        <w:rPr/>
        <w:t xml:space="preserve">     </w:t>
      </w:r>
    </w:p>
    <w:p>
      <w:pPr>
        <w:pStyle w:val="BodyTextIndent"/>
        <w:spacing w:lineRule="auto" w:line="480"/>
        <w:ind w:start="0" w:end="0"/>
        <w:rPr/>
      </w:pPr>
      <w:r>
        <w:rPr/>
        <w:t xml:space="preserve">The Commission also took note that </w:t>
      </w:r>
    </w:p>
    <w:p>
      <w:pPr>
        <w:pStyle w:val="BodyTextIndent"/>
        <w:rPr/>
      </w:pPr>
      <w:r>
        <w:rPr/>
        <w:t>The pricing mechanisms and actions used by the RTO as part of its tranmsission planning and expansion program should be compatible with the pricing signals for shorter-term solutions to transmission constraints (e.g. congestion management) so that market participants can choose the least-cost response.  For example, if the price of expansion overstates its costs (or the price of congestion management understates acutal congestion cost), market participants likely will continue congestion management solutions to a transmission constraint when expanding the system to relieve congestion is more efficient (cite pages 487-488).</w:t>
      </w:r>
    </w:p>
    <w:p>
      <w:pPr>
        <w:pStyle w:val="BodyTextIndent"/>
        <w:rPr/>
      </w:pPr>
      <w:r>
        <w:rPr/>
      </w:r>
    </w:p>
    <w:p>
      <w:pPr>
        <w:pStyle w:val="BodyTextIndent"/>
        <w:spacing w:lineRule="auto" w:line="480"/>
        <w:ind w:start="0" w:end="0"/>
        <w:rPr/>
      </w:pPr>
      <w:r>
        <w:rPr/>
        <w:t>Explicitly acknowledging the importance of independent governance as a necessary condition for nondiscriminatory and efficient planning and expansion, the Commission stated tha “such expansion may not be achieved if an RTO operates under a faulty governance system (e.g. a governance system that allows market participants to block expansions that will harm their commercial interests.” (cite page 490)</w:t>
      </w:r>
    </w:p>
    <w:p>
      <w:pPr>
        <w:pStyle w:val="BodyTextIndent"/>
        <w:ind w:start="0" w:end="0"/>
        <w:rPr/>
      </w:pPr>
      <w:r>
        <w:rPr/>
      </w:r>
    </w:p>
    <w:p>
      <w:pPr>
        <w:pStyle w:val="BodyTextIndent"/>
        <w:spacing w:lineRule="auto" w:line="480"/>
        <w:ind w:start="0" w:end="0"/>
        <w:rPr/>
      </w:pPr>
      <w:r>
        <w:rPr/>
        <w:t xml:space="preserve">In </w:t>
      </w:r>
      <w:r>
        <w:rPr>
          <w:i/>
          <w:iCs/>
        </w:rPr>
        <w:t>Commonwealth Edison</w:t>
      </w:r>
      <w:r>
        <w:rPr/>
        <w:t xml:space="preserve">, the Commission urged petitioners to draw on guidance provided by the Order No. 2000, particularly with regard to how the ITC would coordinate with the Midwest ISO on planning and expansion with the ISO to ensure region-wide efficiencies (cite page 23).  The Commission’s conditional approval in that Order of Midwest ISO Appendix I accepted several provisions related to transmission facilities planning.  These includes a requirement that an ITC may develop its plan for the construvtion of transmission facilities within the ITC, but that it shall coordinate with the Midwest ISO to the maximum extent practicable.  Althrough Midwest ISO approval of the plan is not required pursuant to Appendix I, such plan is subject to dispute resolution (cite Appendix I Original Sheet 216).    </w:t>
      </w:r>
    </w:p>
    <w:p>
      <w:pPr>
        <w:pStyle w:val="BodyTextIndent"/>
        <w:ind w:start="0" w:end="0"/>
        <w:rPr/>
      </w:pPr>
      <w:r>
        <w:rPr/>
      </w:r>
    </w:p>
    <w:p>
      <w:pPr>
        <w:pStyle w:val="BodyTextIndent"/>
        <w:spacing w:lineRule="auto" w:line="480"/>
        <w:ind w:start="0" w:end="0"/>
        <w:rPr/>
      </w:pPr>
      <w:r>
        <w:rPr/>
        <w:t xml:space="preserve">In </w:t>
      </w:r>
      <w:r>
        <w:rPr>
          <w:i/>
          <w:iCs/>
        </w:rPr>
        <w:t>Avista Corporation et al</w:t>
      </w:r>
      <w:r>
        <w:rPr/>
        <w:t xml:space="preserve">., the Commission provided additional guidance with regard to its conditions for approval of planning and expansion functionality in an ITC context.   There, the Commission expressed concern that the planning and expansion protocol set forth in in RTO West’s  Transmission Operating Agreement could result in transmission expansion that might not treat transmission and non-wires solutions objectively and neutrally unless least cost planning was considered in the approval process.  The Commission determined that the appropriateness of any sharing of RTO West’s transmission planning responsibilities with TransConnect, the associated ITC, would depend in part on how non-wires solutions would be considered in the planning process (cite page 41). </w:t>
      </w:r>
    </w:p>
    <w:p>
      <w:pPr>
        <w:pStyle w:val="BodyTextIndent"/>
        <w:spacing w:lineRule="auto" w:line="480"/>
        <w:ind w:start="0" w:end="0"/>
        <w:rPr/>
      </w:pPr>
      <w:r>
        <w:rPr/>
      </w:r>
    </w:p>
    <w:p>
      <w:pPr>
        <w:pStyle w:val="BodyTextIndent"/>
        <w:spacing w:lineRule="auto" w:line="480"/>
        <w:ind w:start="0" w:end="0"/>
        <w:rPr/>
      </w:pPr>
      <w:r>
        <w:rPr/>
        <w:t xml:space="preserve">Recommendations provided to the Commission in Administrative Law Judge Bobbie J. McCartney’s </w:t>
      </w:r>
      <w:r>
        <w:rPr>
          <w:i/>
          <w:iCs/>
        </w:rPr>
        <w:t>Mediation Report for the Southeast RTO</w:t>
      </w:r>
      <w:r>
        <w:rPr/>
        <w:t xml:space="preserve">, Docket No. RT01-100-000 also address the ITC’s role in transmission planning.  Pursuant to the Collaborative Governance Model recommended for Commission adoption in the Report, the control delegated to the ITC with respect to the planning function is limited.  </w:t>
      </w:r>
    </w:p>
    <w:p>
      <w:pPr>
        <w:pStyle w:val="BodyTextIndent"/>
        <w:spacing w:lineRule="auto" w:line="480"/>
        <w:ind w:start="0" w:end="0"/>
        <w:rPr/>
      </w:pPr>
      <w:r>
        <w:rPr/>
      </w:r>
    </w:p>
    <w:p>
      <w:pPr>
        <w:pStyle w:val="BodyTextIndent"/>
        <w:spacing w:lineRule="auto" w:line="480"/>
        <w:ind w:start="0" w:end="0"/>
        <w:rPr/>
      </w:pPr>
      <w:r>
        <w:rPr/>
        <w:t>All planning decisions made by the ITC are subject to the review and approval of the Transco, including Local Area Planning.  In circimstances where firm service requests necessitate the performance of system impact studies for ITC facilities, study performance responsibilities are delegated to the ITC.  Such system impact studies must, however, be performed by the ITC in accordance with procedures established by the Transco and included in the RTO-wide OATT.  In addition, the Transco is responsible for study approval and use in evaluating transmission requests and developing expansion plans. (cite page 21-22)</w:t>
      </w:r>
    </w:p>
    <w:p>
      <w:pPr>
        <w:pStyle w:val="BodyTextIndent"/>
        <w:spacing w:lineRule="auto" w:line="480"/>
        <w:ind w:start="0" w:end="0"/>
        <w:rPr/>
      </w:pPr>
      <w:r>
        <w:rPr/>
      </w:r>
    </w:p>
    <w:p>
      <w:pPr>
        <w:pStyle w:val="BodyTextIndent"/>
        <w:spacing w:lineRule="auto" w:line="480"/>
        <w:ind w:start="0" w:end="0"/>
        <w:rPr/>
      </w:pPr>
      <w:r>
        <w:rPr/>
        <w:t xml:space="preserve">Interconnection studies are also performed by the ITC where interconnections to ITC transmission facilities are sought, but these studies too are requred to be performed in compliance with gneeration interconnection procedures established by the Transco and applying to the entire RTO.    </w:t>
      </w:r>
    </w:p>
    <w:p>
      <w:pPr>
        <w:pStyle w:val="BodyTextIndent"/>
        <w:ind w:start="0" w:end="0"/>
        <w:rPr>
          <w:b/>
          <w:bCs/>
          <w:u w:val="single"/>
        </w:rPr>
      </w:pPr>
      <w:r>
        <w:rPr>
          <w:b/>
          <w:bCs/>
          <w:u w:val="single"/>
        </w:rPr>
      </w:r>
    </w:p>
    <w:p>
      <w:pPr>
        <w:pStyle w:val="BodyTextIndent"/>
        <w:ind w:start="0" w:end="0"/>
        <w:rPr>
          <w:b/>
          <w:bCs/>
          <w:u w:val="single"/>
        </w:rPr>
      </w:pPr>
      <w:r>
        <w:rPr>
          <w:b/>
          <w:bCs/>
          <w:u w:val="single"/>
        </w:rPr>
        <w:t>B. The Commission Should Adopt Systematic, Comprehensive and Detailed Guidelines Regarding Requirements for ITC Independence, Tariff Administration, Coordination of Operational Authority, Regional Congestion Management, and Transmission Planning and Expansion that Reflect the Following Principles</w:t>
      </w:r>
    </w:p>
    <w:p>
      <w:pPr>
        <w:pStyle w:val="BodyTextIndent"/>
        <w:ind w:start="0" w:end="0"/>
        <w:rPr>
          <w:b/>
          <w:bCs/>
          <w:u w:val="single"/>
        </w:rPr>
      </w:pPr>
      <w:r>
        <w:rPr>
          <w:b/>
          <w:bCs/>
          <w:u w:val="single"/>
        </w:rPr>
      </w:r>
    </w:p>
    <w:p>
      <w:pPr>
        <w:pStyle w:val="BodyTextIndent"/>
        <w:spacing w:lineRule="auto" w:line="480"/>
        <w:ind w:start="0" w:end="0"/>
        <w:rPr>
          <w:b/>
          <w:bCs/>
          <w:u w:val="single"/>
        </w:rPr>
      </w:pPr>
      <w:r>
        <w:rPr/>
        <w:t xml:space="preserve">The Commission’s previous guidance regarding ITC requirements, apart from the general and abstract guidance provided in Order No. 2000, has been offered in the context of specific proceedings.  The Competitive Coalition respectively requests that the Commission address the issues and consider the following principles in a policy statement articulated in an Order in this proceeding.  </w:t>
      </w:r>
    </w:p>
    <w:p>
      <w:pPr>
        <w:pStyle w:val="BodyTextIndent"/>
        <w:ind w:start="0" w:end="0"/>
        <w:rPr>
          <w:b/>
          <w:bCs/>
          <w:u w:val="single"/>
        </w:rPr>
      </w:pPr>
      <w:r>
        <w:rPr>
          <w:b/>
          <w:bCs/>
          <w:u w:val="single"/>
        </w:rPr>
      </w:r>
    </w:p>
    <w:p>
      <w:pPr>
        <w:pStyle w:val="BodyTextIndent"/>
        <w:spacing w:lineRule="auto" w:line="480"/>
        <w:ind w:start="0" w:end="0"/>
        <w:rPr>
          <w:b/>
          <w:bCs/>
          <w:i/>
          <w:i/>
          <w:iCs/>
          <w:u w:val="single"/>
        </w:rPr>
      </w:pPr>
      <w:r>
        <w:rPr>
          <w:i/>
          <w:iCs/>
        </w:rPr>
        <w:t>(policy principles for Commission consideration)</w:t>
      </w:r>
    </w:p>
    <w:p>
      <w:pPr>
        <w:pStyle w:val="BodyTextIndent"/>
        <w:spacing w:lineRule="auto" w:line="480"/>
        <w:ind w:start="0" w:end="0"/>
        <w:rPr>
          <w:b/>
          <w:bCs/>
          <w:i/>
          <w:i/>
          <w:iCs/>
          <w:u w:val="single"/>
        </w:rPr>
      </w:pPr>
      <w:r>
        <w:rPr>
          <w:b/>
          <w:bCs/>
          <w:i/>
          <w:iCs/>
          <w:u w:val="single"/>
        </w:rPr>
      </w:r>
    </w:p>
    <w:p>
      <w:pPr>
        <w:pStyle w:val="BodyTextIndent"/>
        <w:spacing w:lineRule="auto" w:line="480"/>
        <w:ind w:start="0" w:end="0"/>
        <w:rPr>
          <w:b/>
          <w:bCs/>
          <w:u w:val="single"/>
        </w:rPr>
      </w:pPr>
      <w:r>
        <w:rPr>
          <w:b/>
          <w:bCs/>
          <w:u w:val="single"/>
        </w:rPr>
      </w:r>
    </w:p>
    <w:p>
      <w:pPr>
        <w:pStyle w:val="BodyTextIndent"/>
        <w:ind w:start="0" w:end="0"/>
        <w:rPr>
          <w:b/>
          <w:bCs/>
          <w:u w:val="single"/>
        </w:rPr>
      </w:pPr>
      <w:r>
        <w:rPr>
          <w:b/>
          <w:bCs/>
          <w:u w:val="single"/>
        </w:rPr>
        <w:t>C. The TRANSLink ITC Proposal Does Not Satisfy Order No. 2000 Minimum Requirements Regarding Independence</w:t>
      </w:r>
    </w:p>
    <w:p>
      <w:pPr>
        <w:pStyle w:val="BodyTextIndent"/>
        <w:ind w:start="0" w:end="0"/>
        <w:rPr>
          <w:b/>
          <w:bCs/>
          <w:u w:val="single"/>
        </w:rPr>
      </w:pPr>
      <w:r>
        <w:rPr>
          <w:b/>
          <w:bCs/>
          <w:u w:val="single"/>
        </w:rPr>
      </w:r>
    </w:p>
    <w:p>
      <w:pPr>
        <w:pStyle w:val="BodyTextIndent"/>
        <w:spacing w:lineRule="auto" w:line="480"/>
        <w:ind w:start="0" w:end="0"/>
        <w:rPr/>
      </w:pPr>
      <w:r>
        <w:rPr/>
        <w:t>Petitioners acknowledge that the proposed TRANSLink ITC must satisfy the Order No. 2000 Independence criterion.  (cite TRANSLink transmittal letter, p.15).   TRANSLink witness Zibelman references the embodiment in Appendix I of the Midwest ISO Agreement that “the TRANSLink must be independent of control by market participants.” (Zibelman, page 18)</w:t>
      </w:r>
    </w:p>
    <w:p>
      <w:pPr>
        <w:pStyle w:val="BodyTextIndent"/>
        <w:spacing w:lineRule="auto" w:line="480"/>
        <w:ind w:start="0" w:end="0"/>
        <w:rPr/>
      </w:pPr>
      <w:r>
        <w:rPr/>
      </w:r>
    </w:p>
    <w:p>
      <w:pPr>
        <w:pStyle w:val="BodyTextIndent"/>
        <w:spacing w:lineRule="auto" w:line="480"/>
        <w:ind w:start="0" w:end="0"/>
        <w:rPr/>
      </w:pPr>
      <w:r>
        <w:rPr/>
        <w:t>Unfortunately, TRANSLinks’s  proposed governance structure does not assure independence; to the contrary, it provides for ongoing exercise of unacceptable transmission owner power and authority through the Board of Directors of Corporate Manager, as well as through various provisions of the TRANSLink LLC agreement and TRANSLink By-Laws.  As the discussion above demonstrates, FERC has conditioned any approval of ITC authority regarding the exercise of operational control, limited tariff adminstration authority, congestion management authority, and transmission planning and expansion authority on concomitant satisfaction of the Independence criterion.  Because the TRANSLink proposal clearly violates that criterion, its proposals regarding tariff administration authority, operational control authority, congestion management authority, and transmission planning and expansion authority are unacceptable.  As the discussion below demonstrates, even if TRANSLink were in compliance with the Independence criterion, its proposals suffer in other respects that render them unacceptable.</w:t>
      </w:r>
    </w:p>
    <w:p>
      <w:pPr>
        <w:pStyle w:val="BodyTextIndent"/>
        <w:spacing w:lineRule="auto" w:line="480"/>
        <w:ind w:start="0" w:end="0"/>
        <w:rPr/>
      </w:pPr>
      <w:r>
        <w:rPr/>
      </w:r>
    </w:p>
    <w:p>
      <w:pPr>
        <w:pStyle w:val="BodyTextIndent"/>
        <w:spacing w:lineRule="auto" w:line="480"/>
        <w:ind w:start="0" w:end="0"/>
        <w:rPr/>
      </w:pPr>
      <w:r>
        <w:rPr/>
        <w:t>TRANSLink is proposed to be constituted of two legal entities: TRANSLink LLC, a limited liability company, and TRANSLink Corporate Manager, the entity purportedly responsible for all aspects of management of the LLC.  The Corporate Manager is to have an independent Board of Directors which will direct the activities of the LLC.  TRANSLink’s “independence” is comprised in several respects by details of the TRANSLink governance proposal.  Among the most egregious of these is the fact that the Board of Directors is to be initially approved by public power and cooperative transmission owning entities and by the transmission owning members of the LLC.  Subsequently, Board members are authorized to fill Board vacancies until such time as there is an initial public offering of Corporate Manager’s stock. (Zibelman, pages 17-18).  To add insult to injury, the nine-member Board is comprised of two members directly selected by, respectively, public power and private power interests, a feature clearly contrary to the Commision’s previously articulated 5/15 rule.   TRANSLink struggles to rationalize this anomaly by resorting to distinctions between the “distinct and unique interests” of public and private transmission owners, but this defense fails in view of the Commission’s  remarks, cited above, on the “nexus of interests” of similarly situated market participants.  Competitive Coalition asserts that the interests of public and private transmission owners, as defined by opposition to independent power producers and power marketers, are indistinguishable – all the more so when those transmission owners are verticallly affiliated with generation interests.</w:t>
      </w:r>
    </w:p>
    <w:p>
      <w:pPr>
        <w:pStyle w:val="BodyTextIndent"/>
        <w:spacing w:lineRule="auto" w:line="480"/>
        <w:ind w:start="0" w:end="0"/>
        <w:rPr/>
      </w:pPr>
      <w:r>
        <w:rPr/>
        <w:t xml:space="preserve"> </w:t>
      </w:r>
    </w:p>
    <w:p>
      <w:pPr>
        <w:pStyle w:val="BodyTextIndent"/>
        <w:spacing w:lineRule="auto" w:line="480"/>
        <w:ind w:start="0" w:end="0"/>
        <w:rPr/>
      </w:pPr>
      <w:r>
        <w:rPr/>
        <w:t>The Independence criterion is also violated by Petitioner’s proposal to transfer control of transmission assess to TRANSLink via leases and operating agreements, absent any requirement to divest such assets at any future time.  As TRANSLink witness Zibelman describes,</w:t>
      </w:r>
    </w:p>
    <w:p>
      <w:pPr>
        <w:pStyle w:val="BodyTextIndent"/>
        <w:rPr/>
      </w:pPr>
      <w:r>
        <w:rPr/>
        <w:t>the TRANSLink  formation agreements allow for a great deal of flexibility to enable Participants to transfer functional responsibility for their transmission facilities to TRANSLink through a transfer of assets, execution of a lease, or execution of an operating agreement.  (Cite page 10).</w:t>
      </w:r>
    </w:p>
    <w:p>
      <w:pPr>
        <w:pStyle w:val="BodyTextIndent"/>
        <w:rPr/>
      </w:pPr>
      <w:r>
        <w:rPr/>
      </w:r>
    </w:p>
    <w:p>
      <w:pPr>
        <w:pStyle w:val="BodyTextIndent"/>
        <w:spacing w:lineRule="auto" w:line="480"/>
        <w:ind w:start="0" w:end="0"/>
        <w:rPr/>
      </w:pPr>
      <w:r>
        <w:rPr/>
        <w:t xml:space="preserve">Zibelman “expects” at least one TRANSLink participant to contribute assets at the outset, but there is no requirement that such assets be divested.  </w:t>
      </w:r>
    </w:p>
    <w:p>
      <w:pPr>
        <w:pStyle w:val="BodyTextIndent"/>
        <w:spacing w:lineRule="auto" w:line="480"/>
        <w:ind w:start="0" w:end="0"/>
        <w:rPr/>
      </w:pPr>
      <w:r>
        <w:rPr/>
      </w:r>
    </w:p>
    <w:p>
      <w:pPr>
        <w:pStyle w:val="BodyTextIndent"/>
        <w:spacing w:lineRule="auto" w:line="480"/>
        <w:ind w:start="0" w:end="0"/>
        <w:rPr/>
      </w:pPr>
      <w:r>
        <w:rPr/>
        <w:t xml:space="preserve">As referenced above, the Commission saw fit to require that the independence of an RTO (and by extension, an ITC) decision-making process from passive owners be assured by an independent compliance audit, to be submitted periodically to FERC wth no requirement for approval by the RTO (or ITC) Board.  Despite this clear directive, TRANSLink proposes in its Bylaws that audits of passive ownership interests are not required to be submitted to the Commission:  the Compliance Auditor merely has a right to report any findings or recommendations to the Commission.    (cite Bylaws at page 12) </w:t>
      </w:r>
    </w:p>
    <w:p>
      <w:pPr>
        <w:pStyle w:val="BodyTextIndent"/>
        <w:spacing w:lineRule="auto" w:line="480"/>
        <w:ind w:start="0" w:end="0"/>
        <w:rPr/>
      </w:pPr>
      <w:r>
        <w:rPr/>
      </w:r>
    </w:p>
    <w:p>
      <w:pPr>
        <w:pStyle w:val="BodyTextIndent"/>
        <w:spacing w:lineRule="auto" w:line="480"/>
        <w:ind w:start="0" w:end="0"/>
        <w:rPr/>
      </w:pPr>
      <w:r>
        <w:rPr/>
        <w:t>In sum, the TRANSLink governance edifice provides small comfort that the organization will operate independent of transmission owner interests in reality, let alone in perception.</w:t>
      </w:r>
    </w:p>
    <w:p>
      <w:pPr>
        <w:pStyle w:val="BodyTextIndent"/>
        <w:spacing w:lineRule="auto" w:line="480"/>
        <w:ind w:start="0" w:end="0"/>
        <w:rPr>
          <w:i/>
          <w:i/>
          <w:iCs/>
        </w:rPr>
      </w:pPr>
      <w:r>
        <w:rPr>
          <w:i/>
          <w:iCs/>
        </w:rPr>
        <w:t xml:space="preserve">( in addition, this section of the pleading could reference issues related to “active” versus “passive” interests, see draft Coalition of Midwest Customers Motion to Intervene and Protest……’active’ interests are by definition voting interests…..thus active ownership standards of Order 2000 need to me met….Bylaws provide for limitations on voting rights five years after start-up, despite Order 2000 reuqirements that active ownership interests be divested five years after RTO approval..…ownership shares held in excess of Commission active owner limits required to be held in proposed Voting Trust Agreement, which also sunsets after five years….Amendments to bylaws only permitted with majority approval of Class B and C shareholders, who are transmission owners, even if owners’ shares diluted through initial public offering…..)   </w:t>
      </w:r>
    </w:p>
    <w:p>
      <w:pPr>
        <w:pStyle w:val="BodyTextIndent"/>
        <w:spacing w:lineRule="auto" w:line="480"/>
        <w:ind w:start="0" w:end="0"/>
        <w:rPr>
          <w:i/>
          <w:i/>
          <w:iCs/>
        </w:rPr>
      </w:pPr>
      <w:r>
        <w:rPr>
          <w:i/>
          <w:iCs/>
        </w:rPr>
      </w:r>
    </w:p>
    <w:p>
      <w:pPr>
        <w:pStyle w:val="BodyTextIndent"/>
        <w:ind w:start="0" w:end="0"/>
        <w:rPr>
          <w:i/>
          <w:i/>
          <w:iCs/>
        </w:rPr>
      </w:pPr>
      <w:r>
        <w:rPr>
          <w:b/>
          <w:bCs/>
          <w:u w:val="single"/>
        </w:rPr>
        <w:t>D. The TRANSLink ITC Proposal Does Not Satisfy Order No. 2000 Minimum Requirements Regarding Tariff Administration</w:t>
      </w:r>
    </w:p>
    <w:p>
      <w:pPr>
        <w:pStyle w:val="BodyTextIndent"/>
        <w:spacing w:lineRule="auto" w:line="480"/>
        <w:ind w:start="0" w:end="0"/>
        <w:rPr>
          <w:i/>
          <w:i/>
          <w:iCs/>
        </w:rPr>
      </w:pPr>
      <w:r>
        <w:rPr>
          <w:i/>
          <w:iCs/>
        </w:rPr>
      </w:r>
    </w:p>
    <w:p>
      <w:pPr>
        <w:pStyle w:val="BodyTextIndent"/>
        <w:spacing w:lineRule="auto" w:line="480"/>
        <w:ind w:start="0" w:end="0"/>
        <w:rPr/>
      </w:pPr>
      <w:r>
        <w:rPr/>
        <w:t xml:space="preserve">As the discussion aboves makes clear, the Commission has on several occasions reiterated a basic premise that the RTO must be the sole provider of transmission service and the sole administrator of its own open access tariff.   Despite this straightforward requirement, TRANSLink proposes to it administer its own OATT, allegedly for four reasons: 1) to control its own revenue stream; 2) because the Midwest ISO’s license plate rate design will “not work” for TRANSLink and will be modified in an unspecified manner after a six-year transition period; 3) to provide network service to meet native load customer needs under comparable rates and terms; and 4) to preclude the vetoing of rate design changes by other Midwest ISO transmission owning members. (cite Zibelman pages 27-29; Grover pages 6-8).  Competitive Coalition submits that these reasons are not sufficient to overcome what the Commission described as one of the fundamental benefits envisions by Order No. 2000 – the ability to move power anywhere within the RTO at a single rate </w:t>
      </w:r>
      <w:r>
        <w:rPr>
          <w:u w:val="single"/>
        </w:rPr>
        <w:t>and</w:t>
      </w:r>
      <w:r>
        <w:rPr/>
        <w:t xml:space="preserve"> under a single set of terms and conditions. With regard to TRANSLink’s revenue stream, the discussion above makes clear that the Commission has countenanced transmission owner rights to make unilateral revenue requirement filings when consensus cannot be reached with the RTO.  Furthermore, the Commission recently required that all transmission service, including service for bundled native load, is to be offered under the Midwest ISO OATT. (citation).  </w:t>
      </w:r>
    </w:p>
    <w:p>
      <w:pPr>
        <w:pStyle w:val="BodyTextIndent"/>
        <w:ind w:start="0" w:end="0"/>
        <w:rPr/>
      </w:pPr>
      <w:r>
        <w:rPr/>
      </w:r>
    </w:p>
    <w:p>
      <w:pPr>
        <w:pStyle w:val="BodyTextIndent"/>
        <w:spacing w:lineRule="auto" w:line="480"/>
        <w:ind w:start="0" w:end="0"/>
        <w:rPr/>
      </w:pPr>
      <w:r>
        <w:rPr/>
        <w:t>Competitive Coalition submits to the contrary that TRANSLink’s covert rationale for administering its own OATT may be to retain the ability of transmission owners to favor their own interests at the expense of other market participants seeking nondiscriminatory access to transmission service.  This suspicion is fortified by a review of some of the terms and conditions of TRANSLink’s proposed OATT, which – even if administered benignly – will, among other things, necessarily increase the inefficiency with which region-wide commercial transactions are effected.  The following examples are illustrative:</w:t>
      </w:r>
    </w:p>
    <w:p>
      <w:pPr>
        <w:pStyle w:val="BodyTextIndent"/>
        <w:numPr>
          <w:ilvl w:val="0"/>
          <w:numId w:val="2"/>
        </w:numPr>
        <w:rPr/>
      </w:pPr>
      <w:r>
        <w:rPr/>
        <w:t>Restrictions on Transmission Providers and Transmission Owners in the Midwest ISO Agreement to unilateraly apply to the Commission for changes in certain terms and conditions of the OATT are eliminated (OATT Original Sheet Original Sheets 58-59)</w:t>
      </w:r>
    </w:p>
    <w:p>
      <w:pPr>
        <w:pStyle w:val="BodyTextIndent"/>
        <w:rPr/>
      </w:pPr>
      <w:r>
        <w:rPr/>
      </w:r>
    </w:p>
    <w:p>
      <w:pPr>
        <w:pStyle w:val="BodyTextIndent"/>
        <w:numPr>
          <w:ilvl w:val="0"/>
          <w:numId w:val="2"/>
        </w:numPr>
        <w:rPr/>
      </w:pPr>
      <w:r>
        <w:rPr/>
        <w:t>Penalties proposed for failure to cease or reduce service in response to a directive of the Transmission Provider are arbitrary and onerous (OATT Original Sheet Nos. 84, 99, and 181)</w:t>
      </w:r>
    </w:p>
    <w:p>
      <w:pPr>
        <w:pStyle w:val="BodyTextIndent"/>
        <w:ind w:start="0" w:end="0"/>
        <w:rPr/>
      </w:pPr>
      <w:r>
        <w:rPr/>
      </w:r>
    </w:p>
    <w:p>
      <w:pPr>
        <w:pStyle w:val="Normal"/>
        <w:numPr>
          <w:ilvl w:val="0"/>
          <w:numId w:val="2"/>
        </w:numPr>
        <w:autoSpaceDE w:val="false"/>
        <w:rPr>
          <w:szCs w:val="20"/>
        </w:rPr>
      </w:pPr>
      <w:r>
        <w:rPr/>
        <w:t>Customers requesting firm point-to-point transmission service must adhere to Transmission Operating Requirements pursuant to Attachment G of the Tariff (OATT Original Sheet No. 106). The comparible Midwest ISO document, identified as the Network Operating Agreement</w:t>
      </w:r>
      <w:r>
        <w:rPr>
          <w:szCs w:val="20"/>
        </w:rPr>
        <w:t xml:space="preserve"> (Midwest ISO OATT Attachment G), is much less prescriptive, with the effect that technical requirements could differ for a generator connected in a Midwest ISO control area and serving load in TRANSLink.</w:t>
      </w:r>
    </w:p>
    <w:p>
      <w:pPr>
        <w:pStyle w:val="Normal"/>
        <w:autoSpaceDE w:val="false"/>
        <w:rPr>
          <w:szCs w:val="20"/>
        </w:rPr>
      </w:pPr>
      <w:r>
        <w:rPr>
          <w:szCs w:val="20"/>
        </w:rPr>
      </w:r>
    </w:p>
    <w:p>
      <w:pPr>
        <w:pStyle w:val="Normal"/>
        <w:numPr>
          <w:ilvl w:val="0"/>
          <w:numId w:val="2"/>
        </w:numPr>
        <w:autoSpaceDE w:val="false"/>
        <w:rPr>
          <w:szCs w:val="20"/>
        </w:rPr>
      </w:pPr>
      <w:r>
        <w:rPr>
          <w:szCs w:val="20"/>
        </w:rPr>
        <w:t>Firm poin-to-point transmission service requests of less than one year are subject to TRANSLink OATT Attachment J (OATT Original Sheet No. 107).  Attachment J, Reservation and Scheduling Procedures, calls for the implementation of a day-ahead balanced schedule requirement.  That requirement is consistent with the Midwest ISO Day One balancing protocol, but inconsistent with the Midwest ISO Day Two approach.  Furthermore, Attachment J calls for the Transmission Provider (</w:t>
      </w:r>
      <w:r>
        <w:rPr>
          <w:szCs w:val="20"/>
          <w:u w:val="single"/>
        </w:rPr>
        <w:t xml:space="preserve">i.e. </w:t>
      </w:r>
      <w:r>
        <w:rPr>
          <w:szCs w:val="20"/>
        </w:rPr>
        <w:t>TRANSLink) approving schedules in its footprint.  To the extent different parties are approving schedules within the Midwest RTO, seams issues may result from the utilization of different software, timing requirements, or human decisions to override software output.  Finallly, despite the assurances to the contrary of TRANSLink witness Grover, the Attachment J Scheduling Table differs in its requirements from the Scheduling Table recently filed by the Midwest ISO (see Attachment A to this pleading).</w:t>
      </w:r>
    </w:p>
    <w:p>
      <w:pPr>
        <w:pStyle w:val="Normal"/>
        <w:autoSpaceDE w:val="false"/>
        <w:ind w:start="720" w:end="0"/>
        <w:rPr>
          <w:szCs w:val="20"/>
        </w:rPr>
      </w:pPr>
      <w:r>
        <w:rPr>
          <w:szCs w:val="20"/>
        </w:rPr>
        <w:t xml:space="preserve"> </w:t>
      </w:r>
    </w:p>
    <w:p>
      <w:pPr>
        <w:pStyle w:val="Normal"/>
        <w:numPr>
          <w:ilvl w:val="0"/>
          <w:numId w:val="2"/>
        </w:numPr>
        <w:autoSpaceDE w:val="false"/>
        <w:rPr>
          <w:szCs w:val="20"/>
        </w:rPr>
      </w:pPr>
      <w:r>
        <w:rPr>
          <w:szCs w:val="20"/>
        </w:rPr>
        <w:t>In view of concerns over Independence discussed above, the ability of the Transmission Provider to waive deposits for firm point to point transmission service on a “non-discriminatory basis” is problematic (OATT Original Sheet No. 111).</w:t>
      </w:r>
    </w:p>
    <w:p>
      <w:pPr>
        <w:pStyle w:val="Normal"/>
        <w:numPr>
          <w:ilvl w:val="0"/>
          <w:numId w:val="2"/>
        </w:numPr>
        <w:autoSpaceDE w:val="false"/>
        <w:rPr>
          <w:szCs w:val="20"/>
        </w:rPr>
      </w:pPr>
      <w:r>
        <w:rPr>
          <w:szCs w:val="20"/>
        </w:rPr>
        <w:t>In view of concerns over Independence discussed above, the ability of the Transmission Provider to determine the need for a System Impact Study on a “non-discriminatory basis” is problematic (OATT Original Sheet No. 119).</w:t>
      </w:r>
    </w:p>
    <w:p>
      <w:pPr>
        <w:pStyle w:val="Normal"/>
        <w:autoSpaceDE w:val="false"/>
        <w:ind w:start="720" w:end="0"/>
        <w:rPr>
          <w:szCs w:val="20"/>
        </w:rPr>
      </w:pPr>
      <w:r>
        <w:rPr>
          <w:szCs w:val="20"/>
        </w:rPr>
      </w:r>
    </w:p>
    <w:p>
      <w:pPr>
        <w:pStyle w:val="Normal"/>
        <w:numPr>
          <w:ilvl w:val="0"/>
          <w:numId w:val="2"/>
        </w:numPr>
        <w:autoSpaceDE w:val="false"/>
        <w:rPr>
          <w:szCs w:val="20"/>
        </w:rPr>
      </w:pPr>
      <w:r>
        <w:rPr>
          <w:szCs w:val="20"/>
        </w:rPr>
        <w:t>TRANSLink proposes to increase additional charges for Changes in Service Specifications over those required in the Midwest ISO OATT by eliminating the latter’s condition that such charges will only be incurred for the period of time during which service is scheduled over the secondary path (OATT Original Sheet No. 137).</w:t>
      </w:r>
    </w:p>
    <w:p>
      <w:pPr>
        <w:pStyle w:val="Normal"/>
        <w:autoSpaceDE w:val="false"/>
        <w:rPr>
          <w:szCs w:val="20"/>
        </w:rPr>
      </w:pPr>
      <w:r>
        <w:rPr>
          <w:szCs w:val="20"/>
        </w:rPr>
      </w:r>
    </w:p>
    <w:p>
      <w:pPr>
        <w:pStyle w:val="Normal"/>
        <w:numPr>
          <w:ilvl w:val="0"/>
          <w:numId w:val="2"/>
        </w:numPr>
        <w:autoSpaceDE w:val="false"/>
        <w:rPr>
          <w:szCs w:val="20"/>
        </w:rPr>
      </w:pPr>
      <w:r>
        <w:rPr>
          <w:szCs w:val="20"/>
        </w:rPr>
        <w:t>Transmission customers are required to pay an Adminstrative Fee for Transmission Services provided pursuant to Schedules 7 and 8 of the TRANSLink OATT (OATT Original Sheet No. 142).  Schedule 10 provides procedures for determination of the Adminstrative Fee, and the Schedule clarifies that such fees are not to be considered Section 205 filings.  Information concerning the derivation of such fees is proposed to be provided via “Information Packages”, and disputes regarding pass-through costs are proposed to be resolved through a dispute resolution process set forth in Section 12 of the Tariff.  (OATT Original Sheets 247-250)</w:t>
      </w:r>
    </w:p>
    <w:p>
      <w:pPr>
        <w:pStyle w:val="Normal"/>
        <w:autoSpaceDE w:val="false"/>
        <w:rPr>
          <w:szCs w:val="20"/>
        </w:rPr>
      </w:pPr>
      <w:r>
        <w:rPr>
          <w:szCs w:val="20"/>
        </w:rPr>
      </w:r>
    </w:p>
    <w:p>
      <w:pPr>
        <w:pStyle w:val="Normal"/>
        <w:numPr>
          <w:ilvl w:val="0"/>
          <w:numId w:val="2"/>
        </w:numPr>
        <w:autoSpaceDE w:val="false"/>
        <w:rPr>
          <w:szCs w:val="20"/>
        </w:rPr>
      </w:pPr>
      <w:r>
        <w:rPr>
          <w:szCs w:val="20"/>
        </w:rPr>
        <w:t xml:space="preserve"> </w:t>
      </w:r>
      <w:r>
        <w:rPr>
          <w:szCs w:val="20"/>
        </w:rPr>
        <w:t>TRANSLink’s OATT Attachment C, Methodology to Assess Available Transmission Capability (ATC), proposes that the Midwest RTO would determine Available Transmission Capability, but that the ITC would determine the Total Transfer Capability (TTC), the Capacity Benefit Margin (CBM), and the Transmission Relliability Margin (TRM) of its Transmission System.  The RTO would be responsible for review, calculation, and administration of TTC/ATC/TRM/CBM components “based on values provided by the Transmission Provider.” (OATT Original Sheet No. 286).  Attachment C also reserves the Transmission Provider’s (rather than the RTO’s) right to “develop procedures and methodologies consistent with the principles, procedures and requirements of NERC and the relevant Reliability Councils, to quantify the TRM, and the CBM as appropriate. The ITC is provided authority to maintain and document the models of the Transmission System used to determine TTC values, and such models are available upon request to an Eligible Customer “at cost.” (OATT Original Sheet No. 288).</w:t>
      </w:r>
    </w:p>
    <w:p>
      <w:pPr>
        <w:pStyle w:val="Normal"/>
        <w:autoSpaceDE w:val="false"/>
        <w:rPr>
          <w:szCs w:val="20"/>
        </w:rPr>
      </w:pPr>
      <w:r>
        <w:rPr>
          <w:szCs w:val="20"/>
        </w:rPr>
      </w:r>
    </w:p>
    <w:p>
      <w:pPr>
        <w:pStyle w:val="Normal"/>
        <w:numPr>
          <w:ilvl w:val="0"/>
          <w:numId w:val="2"/>
        </w:numPr>
        <w:autoSpaceDE w:val="false"/>
        <w:rPr>
          <w:szCs w:val="20"/>
        </w:rPr>
      </w:pPr>
      <w:r>
        <w:rPr>
          <w:szCs w:val="20"/>
        </w:rPr>
        <w:t>TRANSLink’s OATT Attachment C also reserves the right to “review all transmission service requests for transmission service within the Transmission Provider’s Transmission System and approve those requests based on the Transmission Provider’s tariff. (OATT Original Sheet Nos. 285-286).</w:t>
      </w:r>
    </w:p>
    <w:p>
      <w:pPr>
        <w:pStyle w:val="Normal"/>
        <w:autoSpaceDE w:val="false"/>
        <w:ind w:start="720" w:end="0"/>
        <w:rPr>
          <w:szCs w:val="20"/>
        </w:rPr>
      </w:pPr>
      <w:r>
        <w:rPr>
          <w:szCs w:val="20"/>
        </w:rPr>
      </w:r>
    </w:p>
    <w:p>
      <w:pPr>
        <w:pStyle w:val="Normal"/>
        <w:numPr>
          <w:ilvl w:val="0"/>
          <w:numId w:val="2"/>
        </w:numPr>
        <w:autoSpaceDE w:val="false"/>
        <w:rPr>
          <w:szCs w:val="20"/>
        </w:rPr>
      </w:pPr>
      <w:r>
        <w:rPr>
          <w:szCs w:val="20"/>
        </w:rPr>
        <w:t xml:space="preserve">TRANSLink will perform System Impact Studies using its “sole discretion as to the scope, details and methods used to perform the Study.” (OATT Original Sheet No. 290).   </w:t>
      </w:r>
    </w:p>
    <w:p>
      <w:pPr>
        <w:pStyle w:val="Normal"/>
        <w:autoSpaceDE w:val="false"/>
        <w:rPr>
          <w:szCs w:val="20"/>
        </w:rPr>
      </w:pPr>
      <w:r>
        <w:rPr>
          <w:szCs w:val="20"/>
        </w:rPr>
      </w:r>
    </w:p>
    <w:p>
      <w:pPr>
        <w:pStyle w:val="BodyTextIndent"/>
        <w:rPr>
          <w:szCs w:val="20"/>
        </w:rPr>
      </w:pPr>
      <w:r>
        <w:rPr>
          <w:szCs w:val="20"/>
        </w:rPr>
      </w:r>
    </w:p>
    <w:p>
      <w:pPr>
        <w:pStyle w:val="Normal"/>
        <w:spacing w:lineRule="auto" w:line="480"/>
        <w:rPr/>
      </w:pPr>
      <w:r>
        <w:rPr/>
        <w:t xml:space="preserve">Suffice it to say that, in addition to the clear violation of established Commission policy that TRANSLink’s proposal to administer its own OATT represents, numerous aspects in which its tariff diverges from the Midwest ISO OATT multiply the Competitive Coalition’s concerns that the commerce that should be faciliated by a Midwestern RTO will be disrupted by the adminstration of multiple OATTs in the region.  It cannot be overstated that, in the present instance, these concerns are intensified in view of TRANSLink’s failure to meet Order No. 2000’s Independence criterion as well as its blatant disregard for observing established Commission requirements set forth in Order No. 2000 and the Midwest ISO’s Appendix I, e.g. with respect to the calculation of TTC, CBM., and TTC.  </w:t>
      </w:r>
    </w:p>
    <w:p>
      <w:pPr>
        <w:pStyle w:val="Normal"/>
        <w:spacing w:lineRule="auto" w:line="480"/>
        <w:rPr/>
      </w:pPr>
      <w:r>
        <w:rPr/>
      </w:r>
    </w:p>
    <w:p>
      <w:pPr>
        <w:pStyle w:val="Normal"/>
        <w:spacing w:lineRule="auto" w:line="480"/>
        <w:rPr/>
      </w:pPr>
      <w:r>
        <w:rPr/>
        <w:t>A matter of additional concern regarding TRANSLink’s  proposed OATT  is the potential for the terms and conditions of Midwest ISO and Translink OATTs to diverge over time, even if they do not diverge initially  Such divergence is to be expected as a result of tariff amendment processes being populated by different groups of stakeholders, and subject to different institutional structures which may propose OATT amendments.  Indeed, TRANSLink reserves the exclusive authority to make filings under Section 205 of the Federal Power Act.  (Transmittal Letter, page 19).</w:t>
      </w:r>
    </w:p>
    <w:p>
      <w:pPr>
        <w:pStyle w:val="Normal"/>
        <w:spacing w:lineRule="auto" w:line="480"/>
        <w:rPr/>
      </w:pPr>
      <w:r>
        <w:rPr/>
        <w:t xml:space="preserve"> </w:t>
      </w:r>
    </w:p>
    <w:p>
      <w:pPr>
        <w:pStyle w:val="Normal"/>
        <w:spacing w:lineRule="auto" w:line="480"/>
        <w:rPr/>
      </w:pPr>
      <w:r>
        <w:rPr/>
        <w:t>Yet a matter of additional concern applicable to many of the above points is the prospect of the “migration” of the provisions to other RTOs in which TRANSLink members are situated.  TRANSLink has proposed its OATT for adoption in other RTOs in which its members may ultimately be situated. (Moeller, pages 11-12).  The Commission should clarify that any actions it takes in this proceeding are limited to the incorporation of that portion of TRANSLink which is proposed to enter into a hierarchical relationship with the Midwest ISO, and defer consideration of approval of those aspects of the TRANSLink application that would result in the “migration” of the ITC’s proposed terms of service, operational procedures and protocols, congestion management procedures, and planning and expansion procedures to other RTOs in which TRANSLink members may be situated.  Commission  consideration of such approval should only commence at which time such RTOs have filed Section 203 and Section 205 applications with the Commission.</w:t>
      </w:r>
    </w:p>
    <w:p>
      <w:pPr>
        <w:pStyle w:val="Normal"/>
        <w:spacing w:lineRule="auto" w:line="480"/>
        <w:rPr/>
      </w:pPr>
      <w:r>
        <w:rPr/>
        <w:t xml:space="preserve">  </w:t>
      </w:r>
    </w:p>
    <w:p>
      <w:pPr>
        <w:pStyle w:val="BodyText"/>
        <w:spacing w:lineRule="auto" w:line="240"/>
        <w:rPr/>
      </w:pPr>
      <w:r>
        <w:rPr/>
        <w:t>E. The TRANSLink ITC Proposal Does Not Satisfy Order No. 2000 Minimum Requirements Regarding the Coordination of Operational Control Authority</w:t>
      </w:r>
    </w:p>
    <w:p>
      <w:pPr>
        <w:pStyle w:val="BodyText"/>
        <w:spacing w:lineRule="auto" w:line="240"/>
        <w:rPr/>
      </w:pPr>
      <w:r>
        <w:rPr/>
      </w:r>
    </w:p>
    <w:p>
      <w:pPr>
        <w:pStyle w:val="BodyText"/>
        <w:spacing w:lineRule="auto" w:line="240"/>
        <w:rPr/>
      </w:pPr>
      <w:r>
        <w:rPr/>
      </w:r>
    </w:p>
    <w:p>
      <w:pPr>
        <w:pStyle w:val="Normal"/>
        <w:spacing w:lineRule="auto" w:line="480"/>
        <w:rPr/>
      </w:pPr>
      <w:r>
        <w:rPr/>
        <w:t xml:space="preserve">As noted above, </w:t>
      </w:r>
      <w:r>
        <w:rPr>
          <w:i/>
          <w:iCs/>
        </w:rPr>
        <w:t>Commonwealth Edison et al.</w:t>
      </w:r>
      <w:r>
        <w:rPr/>
        <w:t xml:space="preserve"> and Midwest ISO’s Attachment I clearly state that satisfaction of scope and configuration requirements is prerequisite to an ITC’s assumption of any RTO functions from the Midwest ISO.(cite page 30).  Curiously,  TRANSLink witness Zibelman asserts that no such requirement is imposed. (Zibelman, page 22).</w:t>
      </w:r>
    </w:p>
    <w:p>
      <w:pPr>
        <w:pStyle w:val="Normal"/>
        <w:spacing w:lineRule="auto" w:line="480"/>
        <w:rPr/>
      </w:pPr>
      <w:r>
        <w:rPr/>
      </w:r>
    </w:p>
    <w:p>
      <w:pPr>
        <w:pStyle w:val="Normal"/>
        <w:spacing w:lineRule="auto" w:line="480"/>
        <w:rPr/>
      </w:pPr>
      <w:r>
        <w:rPr/>
        <w:t xml:space="preserve">Failure to acknowledge the relevance of scope and configuration requirements for the assumption of operational control authority is one thing; worse,  TRANSLink’s ITC application is replete with proposals to assume operational control of the transmission system of members that are expressly prohibited by </w:t>
      </w:r>
      <w:r>
        <w:rPr>
          <w:i/>
          <w:iCs/>
        </w:rPr>
        <w:t xml:space="preserve">Commonwealth Edison et al. </w:t>
      </w:r>
      <w:r>
        <w:rPr/>
        <w:t xml:space="preserve">and the Midwest ISO’s Appendix I.  TRANSLink witnesses Zibelman offers lip service to RTO oversight of functions delegated to an ITC in her supporting testimony, noting that   </w:t>
      </w:r>
    </w:p>
    <w:p>
      <w:pPr>
        <w:pStyle w:val="BodyTextIndent"/>
        <w:rPr/>
      </w:pPr>
      <w:r>
        <w:rPr/>
        <w:t>the Commission has conditionally approved a ‘binary’ RTO, in which an independent transmission company performs many of the RTO functions, in partnership with, and under the oversight of, a not-for-profit RTO that remains responsible for other functions. (Zibelman, page 8)</w:t>
      </w:r>
    </w:p>
    <w:p>
      <w:pPr>
        <w:pStyle w:val="BodyTextIndent"/>
        <w:rPr/>
      </w:pPr>
      <w:r>
        <w:rPr/>
      </w:r>
    </w:p>
    <w:p>
      <w:pPr>
        <w:pStyle w:val="BodyTextIndent"/>
        <w:spacing w:lineRule="auto" w:line="480"/>
        <w:ind w:start="0" w:end="0"/>
        <w:rPr/>
      </w:pPr>
      <w:r>
        <w:rPr/>
        <w:t xml:space="preserve">TRANSLink witness Moeller, on the other hand, refers nowhere in his testimony to any notion of oversight in conjunction with the delegation of operational authority.  Instead, he references a Memorandum of Understanding (MOU) which TRANSLink North Participants and the Midwest ISO have entered, pursuant to which TRANSLink will become an ITC member of the Midwest ISO, </w:t>
      </w:r>
      <w:r>
        <w:rPr>
          <w:b/>
          <w:bCs/>
        </w:rPr>
        <w:t xml:space="preserve">pursuant to Appendix I of the MISO Agreement. </w:t>
      </w:r>
      <w:r>
        <w:rPr/>
        <w:t>(emphasis added) (Moeller page 8).  He states that</w:t>
      </w:r>
    </w:p>
    <w:p>
      <w:pPr>
        <w:pStyle w:val="BodyTextIndent"/>
        <w:rPr/>
      </w:pPr>
      <w:r>
        <w:rPr/>
        <w:t>Under the MOU, TRANSLink will directly perform certain RTO functions for the transmission systems that it will own or over which it will exercise functional responsibility pursuant to agreements with participants.  The Midwest ISO will perform the remaining RTO functions required by Order No. 2000…...Attachment A to the MOU, which generally delineates the proposed allocation of RTO responsibilities between TRANSLink and the Midwest ISO, is consistent with Appendix I to the MISO Agreement and the MISO tariff….In addition, representatives of the Participants and Midwest ISO have developed more than thirty dtailed protocols that will govern the operational relationship between TRANSLink and the Midwest ISO once TRANSLink achieves commercial operation in 2002. (Moeller pages 8-9).</w:t>
      </w:r>
    </w:p>
    <w:p>
      <w:pPr>
        <w:pStyle w:val="BodyTextIndent"/>
        <w:rPr/>
      </w:pPr>
      <w:r>
        <w:rPr/>
      </w:r>
    </w:p>
    <w:p>
      <w:pPr>
        <w:pStyle w:val="BodyTextIndent"/>
        <w:ind w:start="0" w:end="0"/>
        <w:rPr/>
      </w:pPr>
      <w:r>
        <w:rPr/>
        <w:t xml:space="preserve">He states later in his testimony that </w:t>
      </w:r>
    </w:p>
    <w:p>
      <w:pPr>
        <w:pStyle w:val="BodyTextIndent"/>
        <w:ind w:start="0" w:end="0"/>
        <w:rPr/>
      </w:pPr>
      <w:r>
        <w:rPr/>
      </w:r>
    </w:p>
    <w:p>
      <w:pPr>
        <w:pStyle w:val="BodyTextIndent"/>
        <w:rPr/>
      </w:pPr>
      <w:r>
        <w:rPr/>
        <w:t>“’</w:t>
      </w:r>
      <w:r>
        <w:rPr/>
        <w:t>[b]oth parties have determined that the MOU and the protocols represent a workable and reliable means of collaboration to provide regional transmission services as a means of collaboration to provide regional transmission services as a platform for comptitive regional electric markets consistent with the Commission’s objectives, as laid out in Order No. 2000.”  (Moeller, page 10)</w:t>
      </w:r>
    </w:p>
    <w:p>
      <w:pPr>
        <w:pStyle w:val="BodyTextIndent"/>
        <w:rPr/>
      </w:pPr>
      <w:r>
        <w:rPr/>
      </w:r>
    </w:p>
    <w:p>
      <w:pPr>
        <w:pStyle w:val="BodyTextIndent"/>
        <w:spacing w:lineRule="auto" w:line="480"/>
        <w:ind w:start="0" w:end="0"/>
        <w:rPr/>
      </w:pPr>
      <w:r>
        <w:rPr/>
        <w:t xml:space="preserve">Indeed, the MOU states matter-of-factly that the protocols to which TRANSLink witness Moeller refers are “final and deemed acceptable for TRANSLink’s operational relationship with the Midwest ISO upon the receipt of FERC order finding that TRANSLink is eligible to operate as an ITC pursuant to Appendix I of the MISO ISO Agreement.” (Moeller testimony Exhibit CMJ-102, page 4).  This breathtaking leap is accomplished, and only in part, by means of an Attachment A to the MOU, “Form of Appendix I Relationship of TRANSLink Independent Transmission Company”, which departs in a number of significant and unacceptable respects from the Midwest ISO’s Appendix I as approved by the Commission.  Other protocols deemed “final and acceptable” do not even conform to the substitute Appendix I identified as Attachment A to the MOU.  </w:t>
      </w:r>
    </w:p>
    <w:p>
      <w:pPr>
        <w:pStyle w:val="BodyTextIndent"/>
        <w:spacing w:lineRule="auto" w:line="480"/>
        <w:ind w:start="0" w:end="0"/>
        <w:rPr/>
      </w:pPr>
      <w:r>
        <w:rPr/>
      </w:r>
    </w:p>
    <w:p>
      <w:pPr>
        <w:pStyle w:val="BodyTextIndent"/>
        <w:spacing w:lineRule="auto" w:line="480"/>
        <w:ind w:start="0" w:end="0"/>
        <w:rPr/>
      </w:pPr>
      <w:r>
        <w:rPr/>
        <w:t xml:space="preserve">Competitive Coalition is incredulous that Midwest ISO has deemed the protocols final and acceptable, and can only conjecture that the lure of an expanded footprint in the Midwest has blinded the proposed RTO to the uncontrovertable conflicts between the proposed protocols and Commission policies manifested in Order No. 2000, </w:t>
      </w:r>
      <w:r>
        <w:rPr>
          <w:i/>
          <w:iCs/>
        </w:rPr>
        <w:t>Commonwealth Edison et al</w:t>
      </w:r>
      <w:r>
        <w:rPr/>
        <w:t>. and the Midwest ISO’s Appendix I.  To reiterate, no operating protocols that relinquish an RTO function to an ITC can be deemed final and acceptable absent a demonstration of sufficient scope and configuration of that ITC.  In addition to that shortcoming, an illustrative list of proposed protocols deemed “final and acceptable” includes ones conflicting with the  Commission’s positions and requirements, described  above, on ATC calculation methodologies; RTO establishment of transmission scheduling processes; RTO staff supervision of control area operators; exclusive RTO authority for receiving, and  confirming and implementing all interchange schedules; The offending protocols (Moeller Exhibit CJM-103) include</w:t>
      </w:r>
    </w:p>
    <w:p>
      <w:pPr>
        <w:pStyle w:val="BodyTextIndent"/>
        <w:numPr>
          <w:ilvl w:val="0"/>
          <w:numId w:val="4"/>
        </w:numPr>
        <w:rPr/>
      </w:pPr>
      <w:r>
        <w:rPr/>
        <w:t>Available Transmission Capacity (ATC)</w:t>
      </w:r>
    </w:p>
    <w:p>
      <w:pPr>
        <w:pStyle w:val="BodyTextIndent"/>
        <w:numPr>
          <w:ilvl w:val="0"/>
          <w:numId w:val="4"/>
        </w:numPr>
        <w:rPr/>
      </w:pPr>
      <w:r>
        <w:rPr/>
        <w:t>Transmission Tariff Administration</w:t>
      </w:r>
    </w:p>
    <w:p>
      <w:pPr>
        <w:pStyle w:val="BodyTextIndent"/>
        <w:numPr>
          <w:ilvl w:val="0"/>
          <w:numId w:val="4"/>
        </w:numPr>
        <w:rPr/>
      </w:pPr>
      <w:r>
        <w:rPr/>
        <w:t>TTC/TRM/CBM</w:t>
      </w:r>
    </w:p>
    <w:p>
      <w:pPr>
        <w:pStyle w:val="BodyTextIndent"/>
        <w:numPr>
          <w:ilvl w:val="0"/>
          <w:numId w:val="4"/>
        </w:numPr>
        <w:rPr/>
      </w:pPr>
      <w:r>
        <w:rPr/>
        <w:t>Interchange Scheduling Approval</w:t>
      </w:r>
    </w:p>
    <w:p>
      <w:pPr>
        <w:pStyle w:val="BodyTextIndent"/>
        <w:numPr>
          <w:ilvl w:val="0"/>
          <w:numId w:val="4"/>
        </w:numPr>
        <w:rPr/>
      </w:pPr>
      <w:r>
        <w:rPr/>
        <w:t>Transmission Control and Switching</w:t>
      </w:r>
    </w:p>
    <w:p>
      <w:pPr>
        <w:pStyle w:val="BodyTextIndent"/>
        <w:spacing w:lineRule="auto" w:line="480"/>
        <w:ind w:start="0" w:end="0"/>
        <w:rPr/>
      </w:pPr>
      <w:r>
        <w:rPr/>
      </w:r>
    </w:p>
    <w:p>
      <w:pPr>
        <w:pStyle w:val="BodyTextIndent"/>
        <w:spacing w:lineRule="auto" w:line="480"/>
        <w:ind w:start="0" w:end="0"/>
        <w:rPr/>
      </w:pPr>
      <w:r>
        <w:rPr/>
        <w:t xml:space="preserve">With respect to interchange scheduling approval, TRANSLink witness Moeller explains that “TRANSLink will receive , analyze and then confirm or reject all transmsison outage schedules submitted by a Participant.” He also asserts that the Midwest ISO would have the ability to modify TRANSLink’s transmission outage schedule only in its role as security coordinator. (Moeller page 36).  </w:t>
      </w:r>
    </w:p>
    <w:p>
      <w:pPr>
        <w:pStyle w:val="BodyTextIndent"/>
        <w:spacing w:lineRule="auto" w:line="480"/>
        <w:ind w:start="0" w:end="0"/>
        <w:rPr/>
      </w:pPr>
      <w:r>
        <w:rPr/>
      </w:r>
    </w:p>
    <w:p>
      <w:pPr>
        <w:pStyle w:val="BodyTextIndent"/>
        <w:spacing w:lineRule="auto" w:line="480"/>
        <w:ind w:start="0" w:end="0"/>
        <w:rPr/>
      </w:pPr>
      <w:r>
        <w:rPr/>
        <w:t xml:space="preserve">Competitive Coalition respectfully submits that these examples clearly establish that TRANSLink’s proposed coordination of operation control authority is unacceptable as a result of TRANSLink’s failure to satisfy the Independence criterion of Order No. 2000 and its failure to justify operational control authority on a scope and configuration basis.  In addition, the delegation of operational control is not consistent with other previously established Commission requirements. </w:t>
      </w:r>
    </w:p>
    <w:p>
      <w:pPr>
        <w:pStyle w:val="BodyTextIndent"/>
        <w:spacing w:lineRule="auto" w:line="480"/>
        <w:ind w:start="0" w:end="0"/>
        <w:rPr/>
      </w:pPr>
      <w:r>
        <w:rPr/>
      </w:r>
    </w:p>
    <w:p>
      <w:pPr>
        <w:pStyle w:val="BodyTextIndent"/>
        <w:ind w:start="0" w:end="0"/>
        <w:rPr>
          <w:b/>
          <w:bCs/>
          <w:u w:val="single"/>
        </w:rPr>
      </w:pPr>
      <w:r>
        <w:rPr>
          <w:b/>
          <w:bCs/>
          <w:u w:val="single"/>
        </w:rPr>
        <w:t>F. The TRANSLink ITC Proposal Does Not Satisfy Order No. 2000 Minimum Requirements Regarding Regional Congestion Management</w:t>
      </w:r>
    </w:p>
    <w:p>
      <w:pPr>
        <w:pStyle w:val="BodyTextIndent"/>
        <w:ind w:start="0" w:end="0"/>
        <w:rPr/>
      </w:pPr>
      <w:r>
        <w:rPr/>
      </w:r>
    </w:p>
    <w:p>
      <w:pPr>
        <w:pStyle w:val="BodyTextIndent"/>
        <w:ind w:start="0" w:end="0"/>
        <w:rPr/>
      </w:pPr>
      <w:r>
        <w:rPr/>
      </w:r>
    </w:p>
    <w:p>
      <w:pPr>
        <w:pStyle w:val="BodyTextIndent"/>
        <w:spacing w:lineRule="auto" w:line="480"/>
        <w:ind w:start="0" w:end="0"/>
        <w:rPr/>
      </w:pPr>
      <w:r>
        <w:rPr/>
        <w:t xml:space="preserve">As noted above, the Commission determined in Order No. 2000 that market mechanisms for managing congestion are to be implemented within one year of start-up, and that suich mechanisms must be closely coordinated with operational activities that the RTO [or its constituent parts] performs day-to-day and moment-to-moment.  The Commission also noted that effective congestion management is a function of the sufficient scope and configuration of the entity managing such congestion.  </w:t>
      </w:r>
    </w:p>
    <w:p>
      <w:pPr>
        <w:pStyle w:val="BodyTextIndent"/>
        <w:spacing w:lineRule="auto" w:line="480"/>
        <w:ind w:start="0" w:end="0"/>
        <w:rPr/>
      </w:pPr>
      <w:r>
        <w:rPr/>
        <w:t>TRANSLink’s proposed congestion management system, to the extent anything definitive about it can be said about it at this point, will not alleviate the Competitive Coalition’s, nor the concerns of the Commission, noted above, about the potential balkanization of the Midwest ISO region as a result of ITC-operated congestion management systems.  Although TRANSLink’s Day One congestion management proposal appears on its face to be consistent with that proposed by the Midwest ISO – TRANSLink anticipates outsourcing Day One congestion management to the Midwest ISO (Day-1 Congestion Management Protocol, Moeller Exhibit CJM-103), it is not apparent that TRANSLink Day One and Midwest ISO Day One are coincident.  TRANSLink witness Moeller states that TRANSLink start-up is envisioned for the fourth quarter of 2002, a timeframe during which the Midwest ISO is anticipated to commence Day Two congestion management operations.  This concern is not dispelled by TRANSLink witness Zibelman’s assertion that TRANSLink’s objective is to have a long-term congestion management plan in place within a year following commencement of operations, presumably by Day Three in Midwest ISO time.  On the other hand, the draft protocol presented for TRANSLink Day Two congestion management states that the “system implementation target date is one year following initial operational date and concurrent with host RTO’s implementation of comparable CMS.” (Moeller Exhibit CJM-104)</w:t>
      </w:r>
    </w:p>
    <w:p>
      <w:pPr>
        <w:pStyle w:val="BodyTextIndent"/>
        <w:spacing w:lineRule="auto" w:line="480"/>
        <w:ind w:start="0" w:end="0"/>
        <w:rPr/>
      </w:pPr>
      <w:r>
        <w:rPr/>
      </w:r>
    </w:p>
    <w:p>
      <w:pPr>
        <w:pStyle w:val="BodyTextIndent"/>
        <w:spacing w:lineRule="auto" w:line="480"/>
        <w:ind w:start="0" w:end="0"/>
        <w:rPr/>
      </w:pPr>
      <w:r>
        <w:rPr/>
        <w:t>TRANSLink witness Zibelman provides some comfort in stating that TRANSLink plans to work with the Midwest ISO to create a single efficient congestion-management pricing method that could be implemented in the TRANSLink North Region and the Midwest ISO. (Zibelman page 30).  However, TRANSLink’s primary congestion management witness, Darrell Gunst, is less sanguine, stating only that</w:t>
      </w:r>
    </w:p>
    <w:p>
      <w:pPr>
        <w:pStyle w:val="BodyTextIndent"/>
        <w:rPr/>
      </w:pPr>
      <w:r>
        <w:rPr/>
        <w:t xml:space="preserve">The Midwest ISO, TRANSLink participants and others have concluded that the best choice for market-based congestion management, albeit a Day-Two congestion management system, is a hybrid model, using location [sic] marginal pricing in real-time and a yet-to-be-defined flow-based rights for the forward market.  Specifics for defining the functionality of the hybrid model are the subject of ongoing workshops. (page 31).  </w:t>
      </w:r>
    </w:p>
    <w:p>
      <w:pPr>
        <w:pStyle w:val="BodyTextIndent"/>
        <w:ind w:start="0" w:end="0"/>
        <w:rPr/>
      </w:pPr>
      <w:r>
        <w:rPr/>
      </w:r>
    </w:p>
    <w:p>
      <w:pPr>
        <w:pStyle w:val="BodyTextIndent"/>
        <w:spacing w:lineRule="auto" w:line="480"/>
        <w:ind w:start="0" w:end="0"/>
        <w:rPr/>
      </w:pPr>
      <w:r>
        <w:rPr/>
        <w:t>TRANSLink witness Gunst also states that TRANSLink intends to implement a locational, real-time balancing market in conjunction with either TRANSLink’s or the Midwest ISO’s long-term congestion management system.  (Gunst, page 32).  The implications of this revelation are troublesome, as the implied outcome could reflect  a balkanized ancillary balancing service market, and separate congestion management systems for TRANSLink and the Midwest ISO.  Any conclusion in that regard remains premature, as the draft operating protocol presents few details of what may emerge (Draft Hybrid Congestion Management Protocol, Moeller Exhibit CJM-104).</w:t>
      </w:r>
    </w:p>
    <w:p>
      <w:pPr>
        <w:pStyle w:val="BodyTextIndent"/>
        <w:spacing w:lineRule="auto" w:line="480"/>
        <w:ind w:start="0" w:end="0"/>
        <w:rPr/>
      </w:pPr>
      <w:r>
        <w:rPr/>
      </w:r>
    </w:p>
    <w:p>
      <w:pPr>
        <w:pStyle w:val="BodyTextIndent"/>
        <w:spacing w:lineRule="auto" w:line="480"/>
        <w:ind w:start="0" w:end="0"/>
        <w:rPr/>
      </w:pPr>
      <w:r>
        <w:rPr/>
        <w:t xml:space="preserve">TRANSLink witness Moeller addresses the relationship between congestion management and parallel path flow management, observing that “[c]oordinated congestion management is an important component of effective parallel path flow management.” He also states that </w:t>
      </w:r>
    </w:p>
    <w:p>
      <w:pPr>
        <w:pStyle w:val="BodyTextIndent"/>
        <w:rPr/>
      </w:pPr>
      <w:r>
        <w:rPr/>
        <w:t>TRANSLink’s scheduling process will allow all parallel flows from activities within TRANSLink to be detectable both within its own control area and on adjacent systems, such as other control areas in MISO, SPP or WSCC.  If the adjacent systems adopt similar scheduling protocols….then reciprocal tariffed service can be arranged under the MISO tariff to mitigate the effects of parallel path flow.  (page 34)</w:t>
      </w:r>
    </w:p>
    <w:p>
      <w:pPr>
        <w:pStyle w:val="BodyTextIndent"/>
        <w:rPr/>
      </w:pPr>
      <w:r>
        <w:rPr/>
      </w:r>
    </w:p>
    <w:p>
      <w:pPr>
        <w:pStyle w:val="BodyTextIndent"/>
        <w:spacing w:lineRule="auto" w:line="480"/>
        <w:ind w:start="0" w:end="0"/>
        <w:rPr/>
      </w:pPr>
      <w:r>
        <w:rPr/>
        <w:t xml:space="preserve">In view of apparent differences in the scheduling protocols of TRANSLink and the Midwest ISO, identified above in the discussion of discrepancies between TRANSLink and Midwest ISO OATTs, it is not apparent that TRANSLink has adequately addressed the Commission’s concerns regarding parallel path flow management (cite), a matter with significant implications for TRANSLink’s ability to manage parallel path flows. As is the case throughout its application, TRANSLink’s rejection of the Commission’s requirement that ITC scope and configuration considerations bear upon the propriety of delegation of RTO functions to the ITC are pertinent to parallel path flow management.  </w:t>
      </w:r>
    </w:p>
    <w:p>
      <w:pPr>
        <w:pStyle w:val="BodyTextIndent"/>
        <w:spacing w:lineRule="auto" w:line="480"/>
        <w:ind w:start="0" w:end="0"/>
        <w:rPr/>
      </w:pPr>
      <w:r>
        <w:rPr/>
      </w:r>
    </w:p>
    <w:p>
      <w:pPr>
        <w:pStyle w:val="BodyTextIndent"/>
        <w:spacing w:lineRule="auto" w:line="480"/>
        <w:ind w:start="0" w:end="0"/>
        <w:rPr/>
      </w:pPr>
      <w:r>
        <w:rPr/>
        <w:t>Competitive Coalition submits that TRANSLink’s ITC application does not present self-consistent nor sufficient detail to satisfy the Commission’s concerns and requirements regarding regional congestion management, and as such should be rejected.</w:t>
      </w:r>
    </w:p>
    <w:p>
      <w:pPr>
        <w:pStyle w:val="BodyTextIndent"/>
        <w:spacing w:lineRule="auto" w:line="480"/>
        <w:ind w:start="0" w:end="0"/>
        <w:rPr/>
      </w:pPr>
      <w:r>
        <w:rPr/>
      </w:r>
    </w:p>
    <w:p>
      <w:pPr>
        <w:pStyle w:val="BodyTextIndent"/>
        <w:ind w:start="0" w:end="0"/>
        <w:rPr>
          <w:b/>
          <w:bCs/>
          <w:u w:val="single"/>
        </w:rPr>
      </w:pPr>
      <w:r>
        <w:rPr>
          <w:b/>
          <w:bCs/>
          <w:u w:val="single"/>
        </w:rPr>
        <w:t>G. The TRANSLink ITC Proposal Does Not Satisfy Order No. 2000 Minimum Requirements Regarding Transmission Planning and Expansion</w:t>
      </w:r>
    </w:p>
    <w:p>
      <w:pPr>
        <w:pStyle w:val="BodyTextIndent"/>
        <w:ind w:start="0" w:end="0"/>
        <w:rPr>
          <w:b/>
          <w:bCs/>
          <w:u w:val="single"/>
        </w:rPr>
      </w:pPr>
      <w:r>
        <w:rPr>
          <w:b/>
          <w:bCs/>
          <w:u w:val="single"/>
        </w:rPr>
      </w:r>
    </w:p>
    <w:p>
      <w:pPr>
        <w:pStyle w:val="BodyTextIndent"/>
        <w:spacing w:lineRule="auto" w:line="480"/>
        <w:ind w:start="0" w:end="0"/>
        <w:rPr/>
      </w:pPr>
      <w:r>
        <w:rPr/>
        <w:t xml:space="preserve">As presented above, the Commission has developed a position on ITC assumption of the RTO transmission planning and expansion function, clarifying in its approval of Midwest ISO Appendix I that an ITC’s plan should be coordinated with the Midwest ISO to the maximum extent practicable.  Subsequently the Commission has expressed concern that ITC planning and expansion may not treat transmission and non-wires solutions objectively and neutrally.  The </w:t>
      </w:r>
      <w:r>
        <w:rPr>
          <w:i/>
          <w:iCs/>
        </w:rPr>
        <w:t xml:space="preserve">Mediation Report for the Southeast RTO </w:t>
      </w:r>
      <w:r>
        <w:rPr/>
        <w:t>recommends that all planning decisions made by the ITC are subject to review and approval of the RTO, and that system impact studies to assess the need for ITC transmission system expansion must be conducted in accordance with procedures established by the RTO and included in its system-wide OATT.</w:t>
      </w:r>
    </w:p>
    <w:p>
      <w:pPr>
        <w:pStyle w:val="BodyTextIndent"/>
        <w:spacing w:lineRule="auto" w:line="480"/>
        <w:ind w:start="0" w:end="0"/>
        <w:rPr/>
      </w:pPr>
      <w:r>
        <w:rPr/>
      </w:r>
    </w:p>
    <w:p>
      <w:pPr>
        <w:pStyle w:val="BodyTextIndent"/>
        <w:spacing w:lineRule="auto" w:line="480"/>
        <w:ind w:start="0" w:end="0"/>
        <w:rPr/>
      </w:pPr>
      <w:r>
        <w:rPr/>
        <w:t>Throughout the pleading, Competitive Coalition has reiterated the paramount significance of an ITC’s satisfaction of the Independence criterion as a prerequisite for assumption of  discrete RTO functions.  The transmission planning and expansion function presents no exception to this rule.  The Commission has stated that</w:t>
      </w:r>
    </w:p>
    <w:p>
      <w:pPr>
        <w:pStyle w:val="BodyTextIndent"/>
        <w:ind w:hanging="720" w:end="0"/>
        <w:rPr/>
      </w:pPr>
      <w:r>
        <w:rPr/>
        <w:tab/>
        <w:t>Independent governance of the RTO is a necessary condition for nondiscriminatory and efficient planing and expansion.  While accurate price signals can signal the need for expansion, such expansion may not be achieved if an RTO operates under a faulty governance system (</w:t>
      </w:r>
      <w:r>
        <w:rPr>
          <w:u w:val="single"/>
        </w:rPr>
        <w:t>e.g</w:t>
      </w:r>
      <w:r>
        <w:rPr/>
        <w:t>.  a governance system that allows market participants to block expansions that will harm their commercial interests). (Order No. 2000, page 490)</w:t>
      </w:r>
    </w:p>
    <w:p>
      <w:pPr>
        <w:pStyle w:val="BodyTextIndent"/>
        <w:ind w:hanging="720" w:end="0"/>
        <w:rPr/>
      </w:pPr>
      <w:r>
        <w:rPr/>
      </w:r>
    </w:p>
    <w:p>
      <w:pPr>
        <w:pStyle w:val="BodyTextIndent"/>
        <w:spacing w:lineRule="auto" w:line="480"/>
        <w:ind w:start="0" w:end="0"/>
        <w:rPr/>
      </w:pPr>
      <w:r>
        <w:rPr/>
        <w:t xml:space="preserve">The same principle applies to ITC independence or, in TRANSLink’s case, to its failure to meet the Independence criterion.  Competitive Coalition submits that TRANSLink’s proposed transmission planning and expansion process is subject to manipulation by transmission owner interests, as the Commission envisioned in Order No. 2000 under a “faulty governance system.”  In this instance, that system is reinforced by provisions of proposed TRANSLink OATT Attachment S, Planning Procedures, as well as by the provisions of associated OATT Attachment D, Methodology for Completing a System Impact Study.  </w:t>
      </w:r>
    </w:p>
    <w:p>
      <w:pPr>
        <w:pStyle w:val="BodyTextIndent"/>
        <w:spacing w:lineRule="auto" w:line="480"/>
        <w:ind w:start="0" w:end="0"/>
        <w:rPr/>
      </w:pPr>
      <w:r>
        <w:rPr/>
      </w:r>
    </w:p>
    <w:p>
      <w:pPr>
        <w:pStyle w:val="BodyTextIndent"/>
        <w:spacing w:lineRule="auto" w:line="480"/>
        <w:ind w:start="0" w:end="0"/>
        <w:rPr/>
      </w:pPr>
      <w:r>
        <w:rPr/>
        <w:t>TRANSLink OATT Attachment S provides among other things that</w:t>
      </w:r>
    </w:p>
    <w:p>
      <w:pPr>
        <w:pStyle w:val="BodyTextIndent"/>
        <w:rPr/>
      </w:pPr>
      <w:r>
        <w:rPr/>
        <w:t xml:space="preserve">[t]he Transmission Provider will have authority to authorize in the Transmission </w:t>
      </w:r>
    </w:p>
    <w:p>
      <w:pPr>
        <w:pStyle w:val="BodyTextIndent"/>
        <w:rPr/>
      </w:pPr>
      <w:r>
        <w:rPr/>
        <w:t>System Plan the addition of new transmission facilities that relieve limitations on the transfer of power into, out of within or across the Transmission Provider’s Transmission System or affect regional reliability.  The Transmission Provider will have overall resonsibility for the expansion of the Transmission Provider’s Transmission System including wholesale delivery points, generator interconnections, and areatil substations where transmission and distribution breakpoints occur. (OATT Original Sheet No. 425)</w:t>
      </w:r>
    </w:p>
    <w:p>
      <w:pPr>
        <w:pStyle w:val="BodyTextIndent"/>
        <w:rPr/>
      </w:pPr>
      <w:r>
        <w:rPr/>
      </w:r>
    </w:p>
    <w:p>
      <w:pPr>
        <w:pStyle w:val="BodyTextIndent"/>
        <w:spacing w:lineRule="auto" w:line="480"/>
        <w:ind w:start="0" w:end="0"/>
        <w:rPr/>
      </w:pPr>
      <w:r>
        <w:rPr/>
        <w:t>Attachment S also clarifies that the Transmission provider will “have responsibility for seleciting the preferred system expansion alternative, subject to its obligation to operate in a non-discriminatory fashion (OATT Original Tariff Sheet No. 426), and will have the primary responsibility for the coordinated performance of studies associated with… [Transmission Service} requests, consistent with any protocols between the Transmission Provider and applicable host RTO…..Such studies will be conducted in accordance with Attachment D of this Tariff, Methodology for Completing System Impact Studies. (OATT Original Sheet No. 427).</w:t>
      </w:r>
    </w:p>
    <w:p>
      <w:pPr>
        <w:pStyle w:val="BodyTextIndent"/>
        <w:spacing w:lineRule="auto" w:line="480"/>
        <w:ind w:start="0" w:end="0"/>
        <w:rPr/>
      </w:pPr>
      <w:r>
        <w:rPr/>
      </w:r>
    </w:p>
    <w:p>
      <w:pPr>
        <w:pStyle w:val="BodyTextIndent"/>
        <w:spacing w:lineRule="auto" w:line="480"/>
        <w:ind w:start="0" w:end="0"/>
        <w:rPr/>
      </w:pPr>
      <w:r>
        <w:rPr/>
        <w:t xml:space="preserve">As noted above, TRANSLink Attachment D provides that “Transmission Provider shall use its sole discretion as to the scope, details and methods used to perform the Study.” (OATT Original Sheet No. 290).  Competitive Coalition submits that TRANSLink’s failure to meet the Independence minimum requirements established by the Commission in Order No. 2000, and its failure to justify the delegation of the planning and expansion function in terms of its scope and configuration, are sufficient reasons for the Commission to reject its proposal to assume such function from the Midwest ISO. </w:t>
      </w:r>
    </w:p>
    <w:p>
      <w:pPr>
        <w:pStyle w:val="BodyTextIndent"/>
        <w:spacing w:lineRule="auto" w:line="480"/>
        <w:ind w:start="0" w:end="0"/>
        <w:rPr/>
      </w:pPr>
      <w:r>
        <w:rPr/>
      </w:r>
    </w:p>
    <w:p>
      <w:pPr>
        <w:pStyle w:val="BodyTextIndent"/>
        <w:spacing w:lineRule="auto" w:line="480"/>
        <w:ind w:start="0" w:end="0"/>
        <w:jc w:val="center"/>
        <w:rPr>
          <w:b/>
          <w:bCs/>
          <w:u w:val="single"/>
        </w:rPr>
      </w:pPr>
      <w:r>
        <w:rPr>
          <w:b/>
          <w:bCs/>
          <w:u w:val="single"/>
        </w:rPr>
        <w:t>V. CONCLUSION</w:t>
      </w:r>
    </w:p>
    <w:p>
      <w:pPr>
        <w:pStyle w:val="BodyTextIndent"/>
        <w:spacing w:lineRule="auto" w:line="480"/>
        <w:ind w:start="0" w:end="0"/>
        <w:rPr>
          <w:b/>
          <w:bCs/>
          <w:u w:val="single"/>
        </w:rPr>
      </w:pPr>
      <w:r>
        <w:rPr>
          <w:b/>
          <w:bCs/>
          <w:u w:val="single"/>
        </w:rPr>
      </w:r>
    </w:p>
    <w:p>
      <w:pPr>
        <w:pStyle w:val="BodyTextIndent"/>
        <w:spacing w:lineRule="auto" w:line="480"/>
        <w:ind w:start="0" w:end="0"/>
        <w:rPr/>
      </w:pPr>
      <w:r>
        <w:rPr/>
        <w:t xml:space="preserve"> </w:t>
      </w:r>
    </w:p>
    <w:p>
      <w:pPr>
        <w:pStyle w:val="BodyTextIndent"/>
        <w:spacing w:lineRule="auto" w:line="480"/>
        <w:ind w:start="0" w:end="0"/>
        <w:rPr/>
      </w:pPr>
      <w:r>
        <w:rPr/>
      </w:r>
    </w:p>
    <w:p>
      <w:pPr>
        <w:pStyle w:val="BodyTextIndent"/>
        <w:spacing w:lineRule="auto" w:line="480"/>
        <w:ind w:start="0" w:end="0"/>
        <w:rPr/>
      </w:pPr>
      <w:r>
        <w:rPr/>
      </w:r>
    </w:p>
    <w:p>
      <w:pPr>
        <w:pStyle w:val="BodyTextIndent"/>
        <w:spacing w:lineRule="auto" w:line="480"/>
        <w:ind w:start="0" w:end="0"/>
        <w:rPr/>
      </w:pPr>
      <w:r>
        <w:rPr/>
      </w:r>
    </w:p>
    <w:p>
      <w:pPr>
        <w:pStyle w:val="BodyTextIndent"/>
        <w:spacing w:lineRule="auto" w:line="480"/>
        <w:ind w:start="0" w:end="0"/>
        <w:rPr/>
      </w:pPr>
      <w:r>
        <w:rPr/>
      </w:r>
    </w:p>
    <w:p>
      <w:pPr>
        <w:pStyle w:val="BodyTextIndent"/>
        <w:spacing w:lineRule="auto" w:line="480"/>
        <w:ind w:start="0" w:end="0"/>
        <w:rPr/>
      </w:pPr>
      <w:r>
        <w:rPr/>
        <w:t xml:space="preserve">  </w:t>
      </w:r>
    </w:p>
    <w:p>
      <w:pPr>
        <w:pStyle w:val="BodyTextIndent"/>
        <w:ind w:start="0" w:end="0"/>
        <w:rPr/>
      </w:pPr>
      <w:r>
        <w:rPr/>
      </w:r>
    </w:p>
    <w:p>
      <w:pPr>
        <w:pStyle w:val="BodyTextIndent"/>
        <w:ind w:start="0" w:end="0"/>
        <w:rPr/>
      </w:pPr>
      <w:r>
        <w:rPr/>
      </w:r>
    </w:p>
    <w:p>
      <w:pPr>
        <w:pStyle w:val="BodyTextIndent"/>
        <w:spacing w:lineRule="auto" w:line="480"/>
        <w:ind w:start="0" w:end="0"/>
        <w:rPr/>
      </w:pPr>
      <w:r>
        <w:rPr/>
      </w:r>
    </w:p>
    <w:p>
      <w:pPr>
        <w:pStyle w:val="BodyTextIndent"/>
        <w:ind w:hanging="720" w:end="0"/>
        <w:rPr/>
      </w:pPr>
      <w:r>
        <w:rPr/>
      </w:r>
    </w:p>
    <w:p>
      <w:pPr>
        <w:pStyle w:val="BodyTextIndent"/>
        <w:rPr/>
      </w:pPr>
      <w:r>
        <w:rPr/>
      </w:r>
    </w:p>
    <w:p>
      <w:pPr>
        <w:pStyle w:val="BodyTextIndent"/>
        <w:ind w:start="0" w:end="0"/>
        <w:rPr/>
      </w:pPr>
      <w:r>
        <w:rPr/>
      </w:r>
    </w:p>
    <w:p>
      <w:pPr>
        <w:pStyle w:val="BodyTextIndent"/>
        <w:spacing w:lineRule="auto" w:line="480"/>
        <w:ind w:start="0" w:end="0"/>
        <w:rPr/>
      </w:pPr>
      <w:r>
        <w:rPr/>
      </w:r>
    </w:p>
    <w:p>
      <w:pPr>
        <w:pStyle w:val="BodyTextIndent"/>
        <w:rPr/>
      </w:pPr>
      <w:r>
        <w:rPr/>
      </w:r>
    </w:p>
    <w:p>
      <w:pPr>
        <w:pStyle w:val="BodyTextIndent"/>
        <w:rPr/>
      </w:pPr>
      <w:r>
        <w:rPr/>
      </w:r>
    </w:p>
    <w:p>
      <w:pPr>
        <w:pStyle w:val="Normal"/>
        <w:spacing w:lineRule="auto" w:line="480"/>
        <w:rPr/>
      </w:pPr>
      <w:r>
        <w:rPr/>
      </w:r>
    </w:p>
    <w:p>
      <w:pPr>
        <w:pStyle w:val="Normal"/>
        <w:spacing w:lineRule="auto" w:line="480"/>
        <w:rPr/>
      </w:pPr>
      <w:r>
        <w:rPr/>
      </w:r>
    </w:p>
    <w:p>
      <w:pPr>
        <w:pStyle w:val="Normal"/>
        <w:spacing w:lineRule="auto" w:line="480"/>
        <w:ind w:start="720" w:end="0"/>
        <w:rPr/>
      </w:pPr>
      <w:r>
        <w:rPr/>
      </w:r>
    </w:p>
    <w:p>
      <w:pPr>
        <w:pStyle w:val="BodyText"/>
        <w:rPr>
          <w:b w:val="false"/>
          <w:bCs w:val="false"/>
          <w:u w:val="none"/>
        </w:rPr>
      </w:pPr>
      <w:r>
        <w:rPr>
          <w:b w:val="false"/>
          <w:bCs w:val="false"/>
          <w:u w:val="none"/>
        </w:rPr>
      </w:r>
    </w:p>
    <w:p>
      <w:pPr>
        <w:pStyle w:val="Normal"/>
        <w:rPr>
          <w:b/>
          <w:bCs/>
          <w:u w:val="none"/>
        </w:rPr>
      </w:pPr>
      <w:r>
        <w:rPr>
          <w:b/>
          <w:bCs/>
          <w:u w:val="none"/>
        </w:rPr>
      </w:r>
    </w:p>
    <w:p>
      <w:pPr>
        <w:pStyle w:val="Normal"/>
        <w:rPr/>
      </w:pPr>
      <w:r>
        <w:rPr/>
      </w:r>
    </w:p>
    <w:p>
      <w:pPr>
        <w:pStyle w:val="Normal"/>
        <w:spacing w:lineRule="auto" w:line="480"/>
        <w:ind w:start="1080" w:end="0"/>
        <w:rPr/>
      </w:pPr>
      <w:r>
        <w:rPr/>
      </w:r>
    </w:p>
    <w:p>
      <w:pPr>
        <w:pStyle w:val="Normal"/>
        <w:spacing w:lineRule="auto" w:line="480"/>
        <w:ind w:start="720" w:end="0"/>
        <w:rPr/>
      </w:pPr>
      <w:r>
        <w:rPr/>
      </w:r>
    </w:p>
    <w:p>
      <w:pPr>
        <w:pStyle w:val="Normal"/>
        <w:numPr>
          <w:ilvl w:val="0"/>
          <w:numId w:val="3"/>
        </w:numPr>
        <w:spacing w:lineRule="auto" w:line="480"/>
        <w:rPr/>
      </w:pPr>
      <w:r>
        <w:rPr/>
      </w:r>
    </w:p>
    <w:p>
      <w:pPr>
        <w:pStyle w:val="Normal"/>
        <w:spacing w:lineRule="auto" w:line="480"/>
        <w:ind w:start="720" w:end="0"/>
        <w:rPr/>
      </w:pPr>
      <w:r>
        <w:rPr/>
      </w:r>
    </w:p>
    <w:p>
      <w:pPr>
        <w:pStyle w:val="Normal"/>
        <w:spacing w:lineRule="auto" w:line="480"/>
        <w:rPr/>
      </w:pPr>
      <w:r>
        <w:rPr/>
      </w:r>
    </w:p>
    <w:p>
      <w:pPr>
        <w:pStyle w:val="Normal"/>
        <w:spacing w:lineRule="auto" w:line="480"/>
        <w:rPr/>
      </w:pPr>
      <w:r>
        <w:rPr/>
      </w:r>
    </w:p>
    <w:p>
      <w:pPr>
        <w:pStyle w:val="Normal"/>
        <w:spacing w:lineRule="auto" w:line="480"/>
        <w:rPr>
          <w:b/>
          <w:bCs/>
          <w:u w:val="single"/>
        </w:rPr>
      </w:pPr>
      <w:r>
        <w:rPr>
          <w:b/>
          <w:bCs/>
          <w:u w:val="single"/>
        </w:rPr>
      </w:r>
    </w:p>
    <w:p>
      <w:pPr>
        <w:pStyle w:val="Normal"/>
        <w:rPr>
          <w:b/>
          <w:bCs/>
          <w:u w:val="single"/>
        </w:rPr>
      </w:pPr>
      <w:r>
        <w:rPr>
          <w:b/>
          <w:bCs/>
          <w:u w:val="single"/>
        </w:rPr>
      </w:r>
    </w:p>
    <w:p>
      <w:pPr>
        <w:pStyle w:val="Normal"/>
        <w:ind w:start="720" w:end="0"/>
        <w:rPr>
          <w:b/>
          <w:bCs/>
          <w:u w:val="single"/>
        </w:rPr>
      </w:pPr>
      <w:r>
        <w:rPr>
          <w:b/>
          <w:bCs/>
          <w:u w:val="single"/>
        </w:rPr>
      </w:r>
    </w:p>
    <w:p>
      <w:pPr>
        <w:pStyle w:val="Normal"/>
        <w:ind w:start="720" w:end="0"/>
        <w:rPr>
          <w:b/>
          <w:bCs/>
          <w:u w:val="single"/>
        </w:rPr>
      </w:pPr>
      <w:r>
        <w:rPr>
          <w:b/>
          <w:bCs/>
          <w:u w:val="single"/>
        </w:rPr>
      </w:r>
    </w:p>
    <w:p>
      <w:pPr>
        <w:pStyle w:val="Normal"/>
        <w:spacing w:lineRule="auto" w:line="480"/>
        <w:rPr>
          <w:b/>
          <w:bCs/>
          <w:u w:val="single"/>
        </w:rPr>
      </w:pPr>
      <w:r>
        <w:rPr>
          <w:b/>
          <w:bCs/>
          <w:u w:val="single"/>
        </w:rPr>
      </w:r>
    </w:p>
    <w:p>
      <w:pPr>
        <w:pStyle w:val="Normal"/>
        <w:spacing w:lineRule="auto" w:line="480"/>
        <w:rPr/>
      </w:pPr>
      <w:r>
        <w:rPr/>
      </w:r>
    </w:p>
    <w:p>
      <w:pPr>
        <w:pStyle w:val="Normal"/>
        <w:spacing w:lineRule="auto" w:line="480"/>
        <w:rPr/>
      </w:pPr>
      <w:r>
        <w:rPr/>
      </w:r>
    </w:p>
    <w:p>
      <w:pPr>
        <w:pStyle w:val="Normal"/>
        <w:spacing w:lineRule="auto" w:line="480"/>
        <w:rPr/>
      </w:pPr>
      <w:r>
        <w:rPr/>
        <w:t xml:space="preserve">    </w:t>
      </w:r>
    </w:p>
    <w:p>
      <w:pPr>
        <w:pStyle w:val="Normal"/>
        <w:spacing w:lineRule="auto" w:line="480"/>
        <w:rPr/>
      </w:pPr>
      <w:r>
        <w:rPr/>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1080"/>
        </w:tabs>
        <w:ind w:start="1080" w:hanging="720"/>
      </w:pPr>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4z1">
    <w:name w:val="WW8Num4z1"/>
    <w:qFormat/>
    <w:rPr>
      <w:rFonts w:ascii="Wingdings" w:hAnsi="Wingdings" w:eastAsia="Times New Roman" w:cs="Times New Roma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u w:val="single"/>
    </w:rPr>
  </w:style>
  <w:style w:type="paragraph" w:styleId="BodyText">
    <w:name w:val="Body Text"/>
    <w:basedOn w:val="Normal"/>
    <w:pPr>
      <w:spacing w:lineRule="auto" w:line="480"/>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2001-10-25T04:14:00Z</dcterms:created>
  <dc:creator>kstroup</dc:creator>
  <dc:description/>
  <dc:language>en-CA</dc:language>
  <cp:lastModifiedBy>kstroup</cp:lastModifiedBy>
  <cp:lastPrinted>2001-10-24T14:13:00Z</cp:lastPrinted>
  <dcterms:modified xsi:type="dcterms:W3CDTF">2001-10-25T04:14:00Z</dcterms:modified>
  <cp:revision>2</cp:revision>
  <dc:subject/>
  <dc:title>IV</dc:title>
</cp:coreProperties>
</file>