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Draft Term Sheet</w:t>
      </w:r>
    </w:p>
    <w:p>
      <w:pPr>
        <w:pStyle w:val="Heading1"/>
        <w:ind w:hanging="0" w:start="0"/>
        <w:rPr>
          <w:rFonts w:ascii="Arial" w:hAnsi="Arial" w:cs="Arial"/>
        </w:rPr>
      </w:pPr>
      <w:r>
        <w:rPr>
          <w:rFonts w:cs="Arial" w:ascii="Arial" w:hAnsi="Arial"/>
        </w:rPr>
        <w:t>to</w:t>
      </w:r>
    </w:p>
    <w:p>
      <w:pPr>
        <w:pStyle w:val="Heading1"/>
        <w:ind w:hanging="0" w:start="0"/>
        <w:rPr>
          <w:rFonts w:ascii="Arial" w:hAnsi="Arial" w:cs="Arial"/>
        </w:rPr>
      </w:pPr>
      <w:r>
        <w:rPr>
          <w:rFonts w:cs="Arial" w:ascii="Arial" w:hAnsi="Arial"/>
        </w:rPr>
        <w:t>Green Power Market Development Group</w:t>
      </w:r>
    </w:p>
    <w:p>
      <w:pPr>
        <w:pStyle w:val="Heading1"/>
        <w:ind w:hanging="0" w:start="0"/>
        <w:rPr>
          <w:rFonts w:ascii="Arial" w:hAnsi="Arial" w:cs="Arial"/>
        </w:rPr>
      </w:pPr>
      <w:r>
        <w:rPr>
          <w:rFonts w:cs="Arial" w:ascii="Arial" w:hAnsi="Arial"/>
        </w:rPr>
        <w:t>for</w:t>
      </w:r>
    </w:p>
    <w:p>
      <w:pPr>
        <w:pStyle w:val="Heading1"/>
        <w:ind w:hanging="0" w:start="0"/>
        <w:rPr>
          <w:rFonts w:ascii="Arial" w:hAnsi="Arial" w:cs="Arial"/>
        </w:rPr>
      </w:pPr>
      <w:r>
        <w:rPr>
          <w:rFonts w:cs="Arial" w:ascii="Arial" w:hAnsi="Arial"/>
        </w:rPr>
        <w:t>Texas Renewable Energy Supply</w:t>
      </w:r>
    </w:p>
    <w:p>
      <w:pPr>
        <w:pStyle w:val="Heading1"/>
        <w:ind w:hanging="0" w:start="0"/>
        <w:rPr>
          <w:rFonts w:ascii="Arial" w:hAnsi="Arial" w:cs="Arial"/>
        </w:rPr>
      </w:pPr>
      <w:r>
        <w:rPr>
          <w:rFonts w:cs="Arial" w:ascii="Arial" w:hAnsi="Arial"/>
        </w:rPr>
        <w:t>by</w:t>
      </w:r>
    </w:p>
    <w:p>
      <w:pPr>
        <w:pStyle w:val="Heading1"/>
        <w:ind w:hanging="0" w:start="0"/>
        <w:rPr>
          <w:rFonts w:ascii="Arial" w:hAnsi="Arial" w:cs="Arial"/>
        </w:rPr>
      </w:pPr>
      <w:r>
        <w:rPr>
          <w:rFonts w:cs="Arial" w:ascii="Arial" w:hAnsi="Arial"/>
        </w:rPr>
        <w:t>Enron Power Marketing, Inc.</w:t>
      </w:r>
    </w:p>
    <w:p>
      <w:pPr>
        <w:pStyle w:val="Heading1"/>
        <w:ind w:hanging="0" w:start="0"/>
        <w:rPr>
          <w:rFonts w:ascii="Arial" w:hAnsi="Arial" w:cs="Arial"/>
        </w:rPr>
      </w:pPr>
      <w:r>
        <w:rPr>
          <w:rFonts w:cs="Arial" w:ascii="Arial" w:hAnsi="Arial"/>
        </w:rPr>
      </w:r>
    </w:p>
    <w:p>
      <w:pPr>
        <w:pStyle w:val="Normal"/>
        <w:jc w:val="center"/>
        <w:rPr>
          <w:b/>
          <w:sz w:val="22"/>
        </w:rPr>
      </w:pPr>
      <w:r>
        <w:rPr>
          <w:b/>
          <w:sz w:val="22"/>
        </w:rPr>
        <w:fldChar w:fldCharType="begin"/>
      </w:r>
      <w:r>
        <w:rPr>
          <w:sz w:val="22"/>
          <w:b/>
        </w:rPr>
        <w:instrText xml:space="preserve"> DATE \@"MMMM'  'd', 'yyyy" </w:instrText>
      </w:r>
      <w:r>
        <w:rPr>
          <w:sz w:val="22"/>
          <w:b/>
        </w:rPr>
        <w:fldChar w:fldCharType="separate"/>
      </w:r>
      <w:r>
        <w:rPr>
          <w:sz w:val="22"/>
          <w:b/>
        </w:rPr>
        <w:t>September  28, 2025</w:t>
      </w:r>
      <w:r>
        <w:rPr>
          <w:sz w:val="22"/>
          <w:b/>
        </w:rPr>
        <w:fldChar w:fldCharType="end"/>
      </w:r>
    </w:p>
    <w:p>
      <w:pPr>
        <w:pStyle w:val="Heading1"/>
        <w:ind w:hanging="0" w:start="0"/>
        <w:jc w:val="both"/>
        <w:rPr>
          <w:b w:val="false"/>
          <w:caps w:val="false"/>
          <w:smallCaps w:val="false"/>
          <w:sz w:val="22"/>
        </w:rPr>
      </w:pPr>
      <w:r>
        <w:rPr>
          <w:b w:val="false"/>
          <w:caps w:val="false"/>
          <w:smallCaps w:val="false"/>
          <w:sz w:val="22"/>
        </w:rPr>
      </w:r>
    </w:p>
    <w:p>
      <w:pPr>
        <w:pStyle w:val="Heading1"/>
        <w:ind w:hanging="0" w:start="0"/>
        <w:jc w:val="both"/>
        <w:rPr>
          <w:caps w:val="false"/>
          <w:smallCaps w:val="false"/>
        </w:rPr>
      </w:pPr>
      <w:r>
        <w:rPr>
          <w:caps w:val="false"/>
          <w:smallCaps w:val="false"/>
        </w:rPr>
      </w:r>
    </w:p>
    <w:p>
      <w:pPr>
        <w:pStyle w:val="Normal"/>
        <w:rPr>
          <w:smallCaps/>
          <w:sz w:val="22"/>
        </w:rPr>
      </w:pPr>
      <w:r>
        <w:rPr>
          <w:smallCaps/>
          <w:sz w:val="22"/>
        </w:rPr>
      </w:r>
    </w:p>
    <w:p>
      <w:pPr>
        <w:pStyle w:val="Normal"/>
        <w:spacing w:lineRule="atLeast" w:line="240"/>
        <w:jc w:val="both"/>
        <w:rPr/>
      </w:pPr>
      <w:r>
        <w:rPr>
          <w:rFonts w:cs="Arial" w:ascii="Arial" w:hAnsi="Arial"/>
          <w:b/>
          <w:color w:val="000000"/>
          <w:sz w:val="22"/>
        </w:rPr>
        <w:t>Seller:</w:t>
      </w:r>
      <w:r>
        <w:rPr>
          <w:rFonts w:cs="Arial" w:ascii="Arial" w:hAnsi="Arial"/>
          <w:color w:val="000000"/>
          <w:sz w:val="22"/>
        </w:rPr>
        <w:tab/>
        <w:tab/>
        <w:tab/>
        <w:t>Enron Power Marketing, Inc. (“EPMI”)</w:t>
      </w:r>
    </w:p>
    <w:p>
      <w:pPr>
        <w:pStyle w:val="Normal"/>
        <w:spacing w:lineRule="atLeast" w:line="240"/>
        <w:jc w:val="both"/>
        <w:rPr>
          <w:rFonts w:ascii="Arial" w:hAnsi="Arial" w:cs="Arial"/>
          <w:color w:val="000000"/>
          <w:sz w:val="22"/>
        </w:rPr>
      </w:pPr>
      <w:r>
        <w:rPr>
          <w:rFonts w:cs="Arial" w:ascii="Arial" w:hAnsi="Arial"/>
          <w:color w:val="000000"/>
          <w:sz w:val="22"/>
        </w:rPr>
      </w:r>
    </w:p>
    <w:p>
      <w:pPr>
        <w:pStyle w:val="BodyTextIndent"/>
        <w:jc w:val="both"/>
        <w:rPr/>
      </w:pPr>
      <w:r>
        <w:rPr>
          <w:b/>
          <w:sz w:val="22"/>
        </w:rPr>
        <w:t>Buyer:</w:t>
      </w:r>
      <w:r>
        <w:rPr>
          <w:sz w:val="22"/>
        </w:rPr>
        <w:tab/>
        <w:t>Green Power Market Development Group  (“GPG”)</w:t>
      </w:r>
    </w:p>
    <w:p>
      <w:pPr>
        <w:pStyle w:val="BodyTextIndent"/>
        <w:jc w:val="both"/>
        <w:rPr>
          <w:sz w:val="22"/>
        </w:rPr>
      </w:pPr>
      <w:r>
        <w:rPr>
          <w:sz w:val="22"/>
        </w:rPr>
      </w:r>
    </w:p>
    <w:p>
      <w:pPr>
        <w:pStyle w:val="BodyTextIndent"/>
        <w:jc w:val="both"/>
        <w:rPr/>
      </w:pPr>
      <w:r>
        <w:rPr>
          <w:b/>
          <w:sz w:val="22"/>
        </w:rPr>
        <w:t>Description:</w:t>
      </w:r>
      <w:r>
        <w:rPr>
          <w:sz w:val="22"/>
        </w:rPr>
        <w:tab/>
        <w:t>Upon execution of a definitive agreement, EPMI would provide renewable energy for GPG from a wind-powered generation facility at the Indian Mesa site located in ERCOT in Pecos County near Iraan, Texas (the “Facility”).  The purpose of EPMI’s submission of this Draft Term Sheet is to:</w:t>
      </w:r>
    </w:p>
    <w:p>
      <w:pPr>
        <w:pStyle w:val="BodyTextIndent"/>
        <w:jc w:val="both"/>
        <w:rPr>
          <w:sz w:val="22"/>
        </w:rPr>
      </w:pPr>
      <w:r>
        <w:rPr>
          <w:sz w:val="22"/>
        </w:rPr>
      </w:r>
    </w:p>
    <w:p>
      <w:pPr>
        <w:pStyle w:val="BodyTextIndent"/>
        <w:numPr>
          <w:ilvl w:val="0"/>
          <w:numId w:val="2"/>
        </w:numPr>
        <w:tabs>
          <w:tab w:val="clear" w:pos="720"/>
        </w:tabs>
        <w:ind w:hanging="360" w:start="2520" w:end="0"/>
        <w:jc w:val="both"/>
        <w:rPr>
          <w:sz w:val="22"/>
        </w:rPr>
      </w:pPr>
      <w:r>
        <w:rPr>
          <w:sz w:val="22"/>
        </w:rPr>
        <w:t xml:space="preserve">respond to the GPG’s desire to contribute to creating a cleaner environment, </w:t>
      </w:r>
    </w:p>
    <w:p>
      <w:pPr>
        <w:pStyle w:val="BodyTextIndent"/>
        <w:numPr>
          <w:ilvl w:val="0"/>
          <w:numId w:val="2"/>
        </w:numPr>
        <w:tabs>
          <w:tab w:val="clear" w:pos="720"/>
        </w:tabs>
        <w:ind w:hanging="360" w:start="2520" w:end="0"/>
        <w:jc w:val="both"/>
        <w:rPr>
          <w:sz w:val="22"/>
        </w:rPr>
      </w:pPr>
      <w:r>
        <w:rPr>
          <w:sz w:val="22"/>
        </w:rPr>
        <w:t>provide GPG the most price competitive and reliable renewable energy supply,</w:t>
      </w:r>
    </w:p>
    <w:p>
      <w:pPr>
        <w:pStyle w:val="BodyTextIndent"/>
        <w:numPr>
          <w:ilvl w:val="0"/>
          <w:numId w:val="2"/>
        </w:numPr>
        <w:tabs>
          <w:tab w:val="clear" w:pos="720"/>
        </w:tabs>
        <w:ind w:hanging="360" w:start="2520" w:end="0"/>
        <w:jc w:val="both"/>
        <w:rPr>
          <w:sz w:val="22"/>
        </w:rPr>
      </w:pPr>
      <w:r>
        <w:rPr>
          <w:sz w:val="22"/>
        </w:rPr>
        <w:t>provide GPG flexibility in term and quantity to meet the group’s diverse needs,</w:t>
      </w:r>
    </w:p>
    <w:p>
      <w:pPr>
        <w:pStyle w:val="BodyTextIndent"/>
        <w:numPr>
          <w:ilvl w:val="0"/>
          <w:numId w:val="2"/>
        </w:numPr>
        <w:tabs>
          <w:tab w:val="clear" w:pos="720"/>
        </w:tabs>
        <w:ind w:hanging="360" w:start="2520" w:end="0"/>
        <w:jc w:val="both"/>
        <w:rPr>
          <w:sz w:val="22"/>
        </w:rPr>
      </w:pPr>
      <w:r>
        <w:rPr>
          <w:sz w:val="22"/>
        </w:rPr>
        <w:t>provide GPG a power supply partner in Texas to schedule delivery and/or sell power into the market on behalf of GPG, and</w:t>
      </w:r>
    </w:p>
    <w:p>
      <w:pPr>
        <w:pStyle w:val="BodyTextIndent"/>
        <w:numPr>
          <w:ilvl w:val="0"/>
          <w:numId w:val="2"/>
        </w:numPr>
        <w:tabs>
          <w:tab w:val="clear" w:pos="720"/>
        </w:tabs>
        <w:ind w:hanging="360" w:start="2520" w:end="0"/>
        <w:jc w:val="both"/>
        <w:rPr>
          <w:sz w:val="22"/>
        </w:rPr>
      </w:pPr>
      <w:r>
        <w:rPr>
          <w:sz w:val="22"/>
        </w:rPr>
        <w:t>diversify GPG’s power supply mix and reduce its vulnerability to power price volatility.</w:t>
      </w:r>
    </w:p>
    <w:p>
      <w:pPr>
        <w:pStyle w:val="BodyTextIndent"/>
        <w:jc w:val="both"/>
        <w:rPr>
          <w:sz w:val="22"/>
        </w:rPr>
      </w:pPr>
      <w:r>
        <w:rPr>
          <w:sz w:val="22"/>
        </w:rPr>
      </w:r>
    </w:p>
    <w:p>
      <w:pPr>
        <w:pStyle w:val="BodyTextIndent"/>
        <w:jc w:val="both"/>
        <w:rPr>
          <w:sz w:val="22"/>
        </w:rPr>
      </w:pPr>
      <w:r>
        <w:rPr>
          <w:sz w:val="22"/>
        </w:rPr>
        <w:tab/>
        <w:t>This Draft Term Sheet is for discussion purposes, and is not an inflexible structure.  EPMI welcomes GPG to suggest changes to the terms and conditions stated herein and EPMI will suggest alternative pricing and other terms to create a revised Draft Term Sheet suited to GPG’s needs.</w:t>
      </w:r>
    </w:p>
    <w:p>
      <w:pPr>
        <w:pStyle w:val="BodyTextIndent"/>
        <w:jc w:val="both"/>
        <w:rPr>
          <w:sz w:val="22"/>
        </w:rPr>
      </w:pPr>
      <w:r>
        <w:rPr>
          <w:sz w:val="22"/>
        </w:rPr>
      </w:r>
    </w:p>
    <w:p>
      <w:pPr>
        <w:pStyle w:val="BodyTextIndent"/>
        <w:jc w:val="both"/>
        <w:rPr>
          <w:b/>
          <w:sz w:val="22"/>
        </w:rPr>
      </w:pPr>
      <w:r>
        <w:rPr>
          <w:b/>
          <w:sz w:val="22"/>
        </w:rPr>
        <w:t>Seller</w:t>
      </w:r>
    </w:p>
    <w:p>
      <w:pPr>
        <w:pStyle w:val="BodyTextIndent"/>
        <w:jc w:val="both"/>
        <w:rPr/>
      </w:pPr>
      <w:r>
        <w:rPr>
          <w:b/>
          <w:sz w:val="22"/>
        </w:rPr>
        <w:t>Information:</w:t>
        <w:tab/>
      </w:r>
      <w:r>
        <w:rPr>
          <w:sz w:val="22"/>
        </w:rPr>
        <w:t xml:space="preserve">This response combines the expertise and experience of two Enron Corporation subsidiaries: the bidding company, EPMI, and the building company, Enron Wind Corporation (“EWC”).  </w:t>
      </w:r>
    </w:p>
    <w:p>
      <w:pPr>
        <w:pStyle w:val="BodyTextIndent"/>
        <w:jc w:val="both"/>
        <w:rPr>
          <w:b/>
          <w:sz w:val="22"/>
        </w:rPr>
      </w:pPr>
      <w:r>
        <w:rPr>
          <w:b/>
          <w:sz w:val="22"/>
        </w:rPr>
      </w:r>
    </w:p>
    <w:p>
      <w:pPr>
        <w:pStyle w:val="BodyTextIndent"/>
        <w:jc w:val="both"/>
        <w:rPr>
          <w:sz w:val="22"/>
        </w:rPr>
      </w:pPr>
      <w:r>
        <w:rPr>
          <w:sz w:val="22"/>
        </w:rPr>
        <w:tab/>
        <w:t>EPMI is a FERC licensed power marketer, is certified as a Retail Electric Provider and will be certified as a Qualified Scheduling Entity in ERCOT.  EPMI’s experience in providing power supply solutions is extensive. Some of the qualifications that have made EPMI and its affiliates successful are:</w:t>
      </w:r>
    </w:p>
    <w:p>
      <w:pPr>
        <w:pStyle w:val="BodyTextIndent"/>
        <w:tabs>
          <w:tab w:val="clear" w:pos="720"/>
          <w:tab w:val="left" w:pos="2610" w:leader="none"/>
        </w:tabs>
        <w:jc w:val="both"/>
        <w:rPr>
          <w:sz w:val="22"/>
        </w:rPr>
      </w:pPr>
      <w:r>
        <w:rPr>
          <w:sz w:val="22"/>
        </w:rPr>
      </w:r>
    </w:p>
    <w:p>
      <w:pPr>
        <w:pStyle w:val="Normal"/>
        <w:numPr>
          <w:ilvl w:val="0"/>
          <w:numId w:val="4"/>
        </w:numPr>
        <w:tabs>
          <w:tab w:val="clear" w:pos="720"/>
        </w:tabs>
        <w:ind w:hanging="180" w:start="2880" w:end="0"/>
        <w:jc w:val="both"/>
        <w:rPr>
          <w:rFonts w:ascii="Arial" w:hAnsi="Arial" w:cs="Arial"/>
          <w:color w:val="000000"/>
          <w:sz w:val="22"/>
        </w:rPr>
      </w:pPr>
      <w:r>
        <w:rPr>
          <w:rFonts w:cs="Arial" w:ascii="Arial" w:hAnsi="Arial"/>
          <w:color w:val="000000"/>
          <w:sz w:val="22"/>
        </w:rPr>
        <w:t>Largest power marketer in North America</w:t>
      </w:r>
    </w:p>
    <w:p>
      <w:pPr>
        <w:pStyle w:val="Normal"/>
        <w:numPr>
          <w:ilvl w:val="0"/>
          <w:numId w:val="4"/>
        </w:numPr>
        <w:tabs>
          <w:tab w:val="clear" w:pos="720"/>
        </w:tabs>
        <w:ind w:hanging="180" w:start="2880" w:end="0"/>
        <w:rPr>
          <w:rFonts w:ascii="Arial" w:hAnsi="Arial" w:cs="Arial"/>
          <w:color w:val="000000"/>
          <w:sz w:val="22"/>
        </w:rPr>
      </w:pPr>
      <w:r>
        <w:rPr>
          <w:rFonts w:cs="Arial" w:ascii="Arial" w:hAnsi="Arial"/>
          <w:color w:val="000000"/>
          <w:sz w:val="22"/>
        </w:rPr>
        <w:t>Largest gas marketer in North America Enron North America (“ENA”)</w:t>
      </w:r>
    </w:p>
    <w:p>
      <w:pPr>
        <w:pStyle w:val="Normal"/>
        <w:numPr>
          <w:ilvl w:val="0"/>
          <w:numId w:val="4"/>
        </w:numPr>
        <w:tabs>
          <w:tab w:val="clear" w:pos="720"/>
        </w:tabs>
        <w:ind w:hanging="180" w:start="2880" w:end="0"/>
        <w:rPr>
          <w:rFonts w:ascii="Arial" w:hAnsi="Arial" w:cs="Arial"/>
          <w:color w:val="000000"/>
          <w:sz w:val="22"/>
        </w:rPr>
      </w:pPr>
      <w:r>
        <w:rPr>
          <w:rFonts w:cs="Arial" w:ascii="Arial" w:hAnsi="Arial"/>
          <w:color w:val="000000"/>
          <w:sz w:val="22"/>
        </w:rPr>
        <w:t>Built, owns and operates over 11,000 MW of power generation (ENA)</w:t>
      </w:r>
    </w:p>
    <w:p>
      <w:pPr>
        <w:pStyle w:val="Normal"/>
        <w:numPr>
          <w:ilvl w:val="0"/>
          <w:numId w:val="4"/>
        </w:numPr>
        <w:tabs>
          <w:tab w:val="clear" w:pos="720"/>
        </w:tabs>
        <w:ind w:hanging="180" w:start="2880" w:end="0"/>
        <w:rPr>
          <w:rFonts w:ascii="Arial" w:hAnsi="Arial" w:cs="Arial"/>
          <w:color w:val="000000"/>
          <w:sz w:val="22"/>
        </w:rPr>
      </w:pPr>
      <w:r>
        <w:rPr>
          <w:rFonts w:cs="Arial" w:ascii="Arial" w:hAnsi="Arial"/>
          <w:color w:val="000000"/>
          <w:sz w:val="22"/>
        </w:rPr>
        <w:t>EPMI is an experienced partner in developing long-term structured power transactions</w:t>
      </w:r>
    </w:p>
    <w:p>
      <w:pPr>
        <w:pStyle w:val="Normal"/>
        <w:numPr>
          <w:ilvl w:val="0"/>
          <w:numId w:val="4"/>
        </w:numPr>
        <w:tabs>
          <w:tab w:val="clear" w:pos="720"/>
        </w:tabs>
        <w:ind w:hanging="180" w:start="2880" w:end="0"/>
        <w:rPr>
          <w:rFonts w:ascii="Arial" w:hAnsi="Arial" w:cs="Arial"/>
          <w:sz w:val="22"/>
        </w:rPr>
      </w:pPr>
      <w:r>
        <w:rPr>
          <w:rFonts w:cs="Arial" w:ascii="Arial" w:hAnsi="Arial"/>
          <w:sz w:val="22"/>
        </w:rPr>
        <w:t>EPMI’s affiliate, Enron Wind Development Corp. (“EWDC”), is a premier wind development company with extensive experience with large-scale wind project development, finance, construction, and operation.</w:t>
      </w:r>
    </w:p>
    <w:p>
      <w:pPr>
        <w:pStyle w:val="Normal"/>
        <w:ind w:start="2700" w:end="0"/>
        <w:rPr>
          <w:rFonts w:ascii="Arial" w:hAnsi="Arial" w:cs="Arial"/>
          <w:color w:val="000000"/>
          <w:sz w:val="22"/>
        </w:rPr>
      </w:pPr>
      <w:r>
        <w:rPr>
          <w:rFonts w:cs="Arial" w:ascii="Arial" w:hAnsi="Arial"/>
          <w:color w:val="000000"/>
          <w:sz w:val="22"/>
        </w:rPr>
      </w:r>
    </w:p>
    <w:p>
      <w:pPr>
        <w:pStyle w:val="BodyTextIndent"/>
        <w:ind w:hanging="0" w:end="0"/>
        <w:jc w:val="both"/>
        <w:rPr>
          <w:sz w:val="22"/>
        </w:rPr>
      </w:pPr>
      <w:r>
        <w:rPr>
          <w:sz w:val="22"/>
        </w:rPr>
        <w:t>EWC has developed and/or sold more than 1,400 megawatts, comprising more than 4,300 wind turbines worldwide.  Additional information regarding EPMI and EWC is available upon request.</w:t>
      </w:r>
    </w:p>
    <w:p>
      <w:pPr>
        <w:pStyle w:val="BodyTextIndent"/>
        <w:ind w:hanging="0" w:end="0"/>
        <w:jc w:val="both"/>
        <w:rPr>
          <w:sz w:val="22"/>
        </w:rPr>
      </w:pPr>
      <w:r>
        <w:rPr>
          <w:sz w:val="22"/>
        </w:rPr>
      </w:r>
    </w:p>
    <w:p>
      <w:pPr>
        <w:pStyle w:val="BodyTextIndent"/>
        <w:jc w:val="both"/>
        <w:rPr>
          <w:b/>
          <w:sz w:val="22"/>
        </w:rPr>
      </w:pPr>
      <w:r>
        <w:rPr>
          <w:b/>
          <w:sz w:val="22"/>
        </w:rPr>
        <w:t>Seller’s</w:t>
      </w:r>
    </w:p>
    <w:p>
      <w:pPr>
        <w:pStyle w:val="BodyTextIndent"/>
        <w:jc w:val="both"/>
        <w:rPr/>
      </w:pPr>
      <w:r>
        <w:rPr>
          <w:b/>
          <w:sz w:val="22"/>
        </w:rPr>
        <w:t>Financial Strength:</w:t>
        <w:tab/>
      </w:r>
      <w:r>
        <w:rPr>
          <w:sz w:val="22"/>
        </w:rPr>
        <w:t>EPMI’s obligations would be guaranteed by EPMI’s parent company Enron Corp.  Please refer to Attachment A for a summary of Enron Corp.’s strong financial condition.  Copies of Enron Corp.’s Annual Report will be provided upon request.</w:t>
      </w:r>
    </w:p>
    <w:p>
      <w:pPr>
        <w:pStyle w:val="BodyTextIndent"/>
        <w:jc w:val="both"/>
        <w:rPr>
          <w:b/>
          <w:sz w:val="22"/>
        </w:rPr>
      </w:pPr>
      <w:r>
        <w:rPr>
          <w:b/>
          <w:sz w:val="22"/>
        </w:rPr>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t xml:space="preserve">Why EPMI can </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t xml:space="preserve">Provide a More </w:t>
      </w:r>
    </w:p>
    <w:p>
      <w:pPr>
        <w:pStyle w:val="BodyTextIndent"/>
        <w:jc w:val="both"/>
        <w:rPr>
          <w:b/>
          <w:sz w:val="22"/>
        </w:rPr>
      </w:pPr>
      <w:r>
        <w:rPr>
          <w:b/>
          <w:sz w:val="22"/>
        </w:rPr>
        <w:t xml:space="preserve">Flexible Product </w:t>
      </w:r>
    </w:p>
    <w:p>
      <w:pPr>
        <w:pStyle w:val="BodyTextIndent"/>
        <w:jc w:val="both"/>
        <w:rPr>
          <w:b/>
          <w:sz w:val="22"/>
        </w:rPr>
      </w:pPr>
      <w:r>
        <w:rPr>
          <w:b/>
          <w:sz w:val="22"/>
        </w:rPr>
        <w:t xml:space="preserve">than a Typical </w:t>
      </w:r>
    </w:p>
    <w:p>
      <w:pPr>
        <w:pStyle w:val="BodyTextIndent"/>
        <w:jc w:val="both"/>
        <w:rPr/>
      </w:pPr>
      <w:r>
        <w:rPr>
          <w:b/>
          <w:sz w:val="22"/>
        </w:rPr>
        <w:t>Developer</w:t>
      </w:r>
      <w:r>
        <w:rPr>
          <w:b/>
        </w:rPr>
        <w:t>:</w:t>
        <w:tab/>
      </w:r>
      <w:r>
        <w:rPr>
          <w:sz w:val="22"/>
        </w:rPr>
        <w:t>EPMI currently owns rights to the renewable energy from the facility and EWDC is developing the project.  Because the renewable energy is part of EPMI’s trading portfolio, EPMI is not subject to constraints typically impairing developers.  For example, EPMI does not need to sign a long-term contract for sale of the renewable energy in order to get the Facility financed and constructed.  EPMI has already purchased the Facility’s production, and construction has been scheduled to commence.  EPMI is free to consummate sales that suit the needs of environmentally conscious purchasers such as GPG.  EPMI has the flexibility to also sell only the Renewable Energy Credits, capacity, or energy or any combination thereof, from the Facility.</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Product:</w:t>
      </w:r>
      <w:r>
        <w:rPr>
          <w:rFonts w:cs="Arial" w:ascii="Arial" w:hAnsi="Arial"/>
          <w:color w:val="000000"/>
          <w:sz w:val="22"/>
        </w:rPr>
        <w:tab/>
        <w:t>Firm Renewable Energy (Wind Generation).  This includes all associated capacity, energy, and Renewable Energy Credits, or some combination to be specified by GPG.</w:t>
      </w:r>
    </w:p>
    <w:p>
      <w:pPr>
        <w:pStyle w:val="BodyTextIndent"/>
        <w:ind w:hanging="0" w:end="0"/>
        <w:jc w:val="both"/>
        <w:rPr>
          <w:sz w:val="22"/>
        </w:rPr>
      </w:pPr>
      <w:r>
        <w:rPr>
          <w:rFonts w:eastAsia="Arial"/>
          <w:color w:val="FF0000"/>
          <w:sz w:val="22"/>
        </w:rPr>
        <w:t xml:space="preserve"> </w:t>
      </w:r>
    </w:p>
    <w:p>
      <w:pPr>
        <w:pStyle w:val="Normal"/>
        <w:spacing w:lineRule="atLeast" w:line="240"/>
        <w:ind w:hanging="2160" w:start="2160" w:end="0"/>
        <w:jc w:val="both"/>
        <w:rPr/>
      </w:pPr>
      <w:r>
        <w:rPr>
          <w:rFonts w:cs="Arial" w:ascii="Arial" w:hAnsi="Arial"/>
          <w:b/>
          <w:color w:val="000000"/>
          <w:sz w:val="22"/>
        </w:rPr>
        <w:t>Firmness:</w:t>
        <w:tab/>
      </w:r>
      <w:r>
        <w:rPr>
          <w:rFonts w:cs="Arial" w:ascii="Arial" w:hAnsi="Arial"/>
          <w:color w:val="000000"/>
          <w:sz w:val="22"/>
        </w:rPr>
        <w:t>The Annual Quantity (in MWh per year) could be guaranteed with annually based capped liquidated damages if EPMI fails to deliver.  Appropriate cap and annually based liquidated damages would be negotiated.</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Term:</w:t>
        <w:tab/>
      </w:r>
      <w:r>
        <w:rPr>
          <w:rFonts w:cs="Arial" w:ascii="Arial" w:hAnsi="Arial"/>
          <w:color w:val="000000"/>
          <w:sz w:val="22"/>
          <w:u w:val="single"/>
        </w:rPr>
        <w:t>Alternative A</w:t>
      </w:r>
      <w:r>
        <w:rPr>
          <w:rFonts w:cs="Arial" w:ascii="Arial" w:hAnsi="Arial"/>
          <w:color w:val="000000"/>
          <w:sz w:val="22"/>
        </w:rPr>
        <w:t xml:space="preserve">: </w:t>
        <w:tab/>
        <w:t>May 1, 2002 through April 30, 2004 (2 years)</w:t>
      </w:r>
    </w:p>
    <w:p>
      <w:pPr>
        <w:pStyle w:val="Normal"/>
        <w:spacing w:lineRule="atLeast" w:line="240"/>
        <w:ind w:start="2160" w:end="0"/>
        <w:jc w:val="both"/>
        <w:rPr/>
      </w:pPr>
      <w:r>
        <w:rPr>
          <w:rFonts w:cs="Arial" w:ascii="Arial" w:hAnsi="Arial"/>
          <w:color w:val="000000"/>
          <w:sz w:val="22"/>
          <w:u w:val="single"/>
        </w:rPr>
        <w:t>Alternative B</w:t>
      </w:r>
      <w:r>
        <w:rPr>
          <w:rFonts w:cs="Arial" w:ascii="Arial" w:hAnsi="Arial"/>
          <w:color w:val="000000"/>
          <w:sz w:val="22"/>
        </w:rPr>
        <w:t>:</w:t>
        <w:tab/>
        <w:t>May 1, 2002 through April 30, 2007 (5 years)</w:t>
      </w:r>
    </w:p>
    <w:p>
      <w:pPr>
        <w:pStyle w:val="Normal"/>
        <w:spacing w:lineRule="atLeast" w:line="240"/>
        <w:ind w:start="2160" w:end="0"/>
        <w:jc w:val="both"/>
        <w:rPr/>
      </w:pPr>
      <w:r>
        <w:rPr>
          <w:rFonts w:cs="Arial" w:ascii="Arial" w:hAnsi="Arial"/>
          <w:color w:val="000000"/>
          <w:sz w:val="22"/>
          <w:u w:val="single"/>
        </w:rPr>
        <w:t>Alternative C</w:t>
      </w:r>
      <w:r>
        <w:rPr>
          <w:rFonts w:cs="Arial" w:ascii="Arial" w:hAnsi="Arial"/>
          <w:color w:val="000000"/>
          <w:sz w:val="22"/>
        </w:rPr>
        <w:t>:</w:t>
        <w:tab/>
        <w:t>May 1, 2002 through April 30, 2012 (10 years)</w:t>
      </w:r>
    </w:p>
    <w:p>
      <w:pPr>
        <w:pStyle w:val="Normal"/>
        <w:spacing w:lineRule="atLeast" w:line="240"/>
        <w:ind w:start="2160" w:end="0"/>
        <w:jc w:val="both"/>
        <w:rPr/>
      </w:pPr>
      <w:r>
        <w:rPr>
          <w:rFonts w:cs="Arial" w:ascii="Arial" w:hAnsi="Arial"/>
          <w:color w:val="000000"/>
          <w:sz w:val="22"/>
          <w:u w:val="single"/>
        </w:rPr>
        <w:t>Alternative D</w:t>
      </w:r>
      <w:r>
        <w:rPr>
          <w:rFonts w:cs="Arial" w:ascii="Arial" w:hAnsi="Arial"/>
          <w:color w:val="000000"/>
          <w:sz w:val="22"/>
        </w:rPr>
        <w:t>:</w:t>
        <w:tab/>
        <w:t>May 1, 2002 through April 30, 2017 (15 years)</w:t>
      </w:r>
    </w:p>
    <w:p>
      <w:pPr>
        <w:pStyle w:val="Normal"/>
        <w:spacing w:lineRule="atLeast" w:line="240"/>
        <w:ind w:start="2160" w:end="0"/>
        <w:jc w:val="both"/>
        <w:rPr/>
      </w:pPr>
      <w:r>
        <w:rPr>
          <w:rFonts w:cs="Arial" w:ascii="Arial" w:hAnsi="Arial"/>
          <w:color w:val="000000"/>
          <w:sz w:val="22"/>
          <w:u w:val="single"/>
        </w:rPr>
        <w:t>Alternative E</w:t>
      </w:r>
      <w:r>
        <w:rPr>
          <w:rFonts w:cs="Arial" w:ascii="Arial" w:hAnsi="Arial"/>
          <w:color w:val="000000"/>
          <w:sz w:val="22"/>
        </w:rPr>
        <w:t>:</w:t>
        <w:tab/>
        <w:t>May 1, 2002 through April 30, 2022 (20 years)</w:t>
      </w:r>
    </w:p>
    <w:p>
      <w:pPr>
        <w:pStyle w:val="Normal"/>
        <w:spacing w:lineRule="atLeast" w:line="240"/>
        <w:ind w:start="2160" w:end="0"/>
        <w:jc w:val="both"/>
        <w:rPr>
          <w:rFonts w:ascii="Arial" w:hAnsi="Arial" w:cs="Arial"/>
          <w:color w:val="000000"/>
          <w:sz w:val="22"/>
          <w:u w:val="single"/>
        </w:rPr>
      </w:pPr>
      <w:r>
        <w:rPr>
          <w:rFonts w:cs="Arial" w:ascii="Arial" w:hAnsi="Arial"/>
          <w:color w:val="000000"/>
          <w:sz w:val="22"/>
          <w:u w:val="single"/>
        </w:rPr>
      </w:r>
    </w:p>
    <w:p>
      <w:pPr>
        <w:pStyle w:val="Normal"/>
        <w:spacing w:lineRule="atLeast" w:line="240"/>
        <w:ind w:start="2160" w:end="0"/>
        <w:jc w:val="both"/>
        <w:rPr>
          <w:rFonts w:ascii="Arial" w:hAnsi="Arial" w:cs="Arial"/>
          <w:color w:val="000000"/>
          <w:sz w:val="22"/>
        </w:rPr>
      </w:pPr>
      <w:r>
        <w:rPr>
          <w:rFonts w:cs="Arial" w:ascii="Arial" w:hAnsi="Arial"/>
          <w:color w:val="000000"/>
          <w:sz w:val="22"/>
        </w:rPr>
        <w:t>Alternatives for Term are not mutually exclusive.  If GPG’s members need a mixture of different terms and associated quantities, EPMI can structure a product mix to meet those needs.  The above Term alternatives and their associated prices (see “Energy Price“ below) are to provide GPG the information it needs in order to evaluate which term best suits its needs.  Final Term and Quantity structure would be chosen by GPG prior to the execution of a definitive agreement.</w:t>
      </w:r>
    </w:p>
    <w:p>
      <w:pPr>
        <w:pStyle w:val="Normal"/>
        <w:spacing w:lineRule="atLeast" w:line="240"/>
        <w:ind w:start="2160" w:end="0"/>
        <w:jc w:val="both"/>
        <w:rPr>
          <w:rFonts w:ascii="Arial" w:hAnsi="Arial" w:cs="Arial"/>
          <w:color w:val="000000"/>
          <w:sz w:val="22"/>
        </w:rPr>
      </w:pPr>
      <w:r>
        <w:rPr>
          <w:rFonts w:cs="Arial" w:ascii="Arial" w:hAnsi="Arial"/>
          <w:color w:val="000000"/>
          <w:sz w:val="22"/>
        </w:rPr>
      </w:r>
    </w:p>
    <w:p>
      <w:pPr>
        <w:pStyle w:val="Normal"/>
        <w:spacing w:lineRule="atLeast" w:line="240"/>
        <w:ind w:start="2160" w:end="0"/>
        <w:jc w:val="both"/>
        <w:rPr>
          <w:rFonts w:ascii="Arial" w:hAnsi="Arial" w:cs="Arial"/>
          <w:color w:val="000000"/>
          <w:sz w:val="22"/>
        </w:rPr>
      </w:pPr>
      <w:r>
        <w:rPr>
          <w:rFonts w:cs="Arial" w:ascii="Arial" w:hAnsi="Arial"/>
          <w:color w:val="000000"/>
          <w:sz w:val="22"/>
        </w:rPr>
        <w:t>The Facility could be operating as soon as November 1, 2001.  If GPG were interested, EPMI would be willing to discuss a start date earlier than the May 1, 2002 start date provided above.</w:t>
      </w:r>
    </w:p>
    <w:p>
      <w:pPr>
        <w:pStyle w:val="Normal"/>
        <w:spacing w:lineRule="atLeast" w:line="240"/>
        <w:jc w:val="both"/>
        <w:rPr>
          <w:rFonts w:ascii="Arial" w:hAnsi="Arial" w:cs="Arial"/>
          <w:color w:val="000000"/>
          <w:sz w:val="22"/>
        </w:rPr>
      </w:pPr>
      <w:r>
        <w:rPr>
          <w:rFonts w:cs="Arial" w:ascii="Arial" w:hAnsi="Arial"/>
          <w:color w:val="000000"/>
          <w:sz w:val="22"/>
        </w:rPr>
      </w:r>
    </w:p>
    <w:p>
      <w:pPr>
        <w:pStyle w:val="BodyTextIndent"/>
        <w:jc w:val="both"/>
        <w:rPr/>
      </w:pPr>
      <w:r>
        <w:rPr>
          <w:b/>
          <w:sz w:val="22"/>
        </w:rPr>
        <w:t>Capacity Source:</w:t>
        <w:tab/>
      </w:r>
      <w:r>
        <w:rPr>
          <w:sz w:val="22"/>
        </w:rPr>
        <w:t xml:space="preserve">The Facility is a new wind-powered capacity source in west Texas– see attached map in Attachment B --- which will be certified as a renewable energy facility by the Public Utility Commission of Texas ("PUCT") under PUCT Substantive Rule §25.173.  </w:t>
      </w:r>
    </w:p>
    <w:p>
      <w:pPr>
        <w:pStyle w:val="BodyTextIndent"/>
        <w:jc w:val="both"/>
        <w:rPr>
          <w:b/>
          <w:sz w:val="22"/>
        </w:rPr>
      </w:pPr>
      <w:r>
        <w:rPr>
          <w:b/>
          <w:sz w:val="22"/>
        </w:rPr>
      </w:r>
    </w:p>
    <w:p>
      <w:pPr>
        <w:pStyle w:val="Normal"/>
        <w:spacing w:lineRule="atLeast" w:line="240"/>
        <w:ind w:hanging="2160" w:start="2160" w:end="0"/>
        <w:jc w:val="both"/>
        <w:rPr/>
      </w:pPr>
      <w:r>
        <w:rPr>
          <w:rFonts w:cs="Arial" w:ascii="Arial" w:hAnsi="Arial"/>
          <w:b/>
          <w:color w:val="000000"/>
          <w:sz w:val="22"/>
        </w:rPr>
        <w:t>Capacity Quantity:</w:t>
        <w:tab/>
      </w:r>
      <w:r>
        <w:rPr>
          <w:rFonts w:cs="Arial" w:ascii="Arial" w:hAnsi="Arial"/>
          <w:color w:val="000000"/>
          <w:sz w:val="22"/>
        </w:rPr>
        <w:t>135 MW is the combined nameplate rating of the ninety (90) 1.5 MW wind turbines.  After 10% mechanical and transmission losses associated with delivering the renewable energy to the Delivery Point, the maximum output is approximately 121.5 MW.</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Capacity Factors:</w:t>
      </w:r>
      <w:r>
        <w:rPr>
          <w:rFonts w:cs="Arial" w:ascii="Arial" w:hAnsi="Arial"/>
          <w:color w:val="000000"/>
          <w:sz w:val="22"/>
        </w:rPr>
        <w:tab/>
        <w:t>The Indian Mesa site is believed to be one of the best wind velocity sites in Texas with an estimated annual capacity factor of 41.6%.  The projected monthly capacity factors are attached in Attachment C.  Upon execution of a confidentiality agreement, EPMI would provide additional relevant data.</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rFonts w:ascii="Arial" w:hAnsi="Arial" w:cs="Arial"/>
          <w:color w:val="000000"/>
          <w:sz w:val="22"/>
        </w:rPr>
      </w:pPr>
      <w:r>
        <w:rPr>
          <w:rFonts w:cs="Arial" w:ascii="Arial" w:hAnsi="Arial"/>
          <w:b/>
          <w:color w:val="000000"/>
          <w:sz w:val="22"/>
        </w:rPr>
        <w:t>Annual Quantity:</w:t>
        <w:tab/>
      </w:r>
      <w:r>
        <w:rPr>
          <w:rFonts w:cs="Arial" w:ascii="Arial" w:hAnsi="Arial"/>
          <w:color w:val="000000"/>
          <w:sz w:val="22"/>
        </w:rPr>
        <w:t>360,000 MWh per contract year starting May 1</w:t>
      </w:r>
      <w:r>
        <w:rPr>
          <w:rFonts w:cs="Arial" w:ascii="Arial" w:hAnsi="Arial"/>
          <w:color w:val="000000"/>
          <w:sz w:val="22"/>
          <w:vertAlign w:val="superscript"/>
        </w:rPr>
        <w:t xml:space="preserve">st </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ab/>
      </w:r>
      <w:r>
        <w:rPr>
          <w:rFonts w:cs="Arial" w:ascii="Arial" w:hAnsi="Arial"/>
          <w:color w:val="000000"/>
          <w:sz w:val="22"/>
        </w:rPr>
        <w:t>EPMI would be able commit such amount as an assured quantity.  Once certain milestones are completed, EPMI would be able to supply an additional 115,000 MWh per year.  If GPG were interested, EPMI would be willing to discuss providing additional renewable energy.</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Delivery Point:</w:t>
        <w:tab/>
      </w:r>
      <w:r>
        <w:rPr>
          <w:rFonts w:cs="Arial" w:ascii="Arial" w:hAnsi="Arial"/>
          <w:color w:val="000000"/>
          <w:sz w:val="22"/>
        </w:rPr>
        <w:t>Two alternate interconnections of the Facility with West Texas Utilities (“WTU”).</w:t>
      </w:r>
    </w:p>
    <w:p>
      <w:pPr>
        <w:pStyle w:val="Heading2"/>
        <w:spacing w:before="0" w:after="0"/>
        <w:ind w:hanging="2142" w:start="2160" w:end="0"/>
        <w:rPr>
          <w:rFonts w:ascii="Arial" w:hAnsi="Arial" w:cs="Arial"/>
          <w:i w:val="false"/>
          <w:i w:val="false"/>
          <w:color w:val="000000"/>
          <w:sz w:val="22"/>
        </w:rPr>
      </w:pPr>
      <w:r>
        <w:rPr>
          <w:rFonts w:cs="Arial"/>
          <w:i w:val="false"/>
          <w:color w:val="000000"/>
          <w:sz w:val="22"/>
        </w:rPr>
      </w:r>
    </w:p>
    <w:p>
      <w:pPr>
        <w:pStyle w:val="BodyText"/>
        <w:ind w:hanging="2160" w:start="2160" w:end="0"/>
        <w:jc w:val="both"/>
        <w:rPr>
          <w:b/>
          <w:i w:val="false"/>
          <w:i w:val="false"/>
          <w:sz w:val="22"/>
        </w:rPr>
      </w:pPr>
      <w:r>
        <w:rPr>
          <w:b/>
          <w:i w:val="false"/>
          <w:sz w:val="22"/>
        </w:rPr>
        <w:t>Energy Price:</w:t>
        <w:tab/>
      </w:r>
      <w:r>
        <w:rPr>
          <w:i w:val="false"/>
          <w:sz w:val="22"/>
        </w:rPr>
        <w:t>With reference to the Alternatives stated in “Term” above:</w:t>
      </w:r>
    </w:p>
    <w:p>
      <w:pPr>
        <w:pStyle w:val="BodyText"/>
        <w:ind w:hanging="2160" w:start="2160" w:end="0"/>
        <w:jc w:val="both"/>
        <w:rPr>
          <w:b/>
          <w:i w:val="false"/>
          <w:i w:val="false"/>
          <w:sz w:val="22"/>
        </w:rPr>
      </w:pPr>
      <w:r>
        <w:rPr>
          <w:b/>
          <w:i w:val="false"/>
          <w:sz w:val="22"/>
        </w:rPr>
      </w:r>
    </w:p>
    <w:p>
      <w:pPr>
        <w:pStyle w:val="BodyText"/>
        <w:ind w:start="2160" w:end="0"/>
        <w:jc w:val="both"/>
        <w:rPr/>
      </w:pPr>
      <w:r>
        <w:rPr>
          <w:i w:val="false"/>
          <w:color w:val="auto"/>
          <w:sz w:val="22"/>
          <w:u w:val="single"/>
        </w:rPr>
        <w:t>Alternative A</w:t>
      </w:r>
      <w:r>
        <w:rPr>
          <w:i w:val="false"/>
          <w:color w:val="auto"/>
          <w:sz w:val="22"/>
        </w:rPr>
        <w:t>:</w:t>
        <w:tab/>
        <w:t>$35.10 per MWh, escalating 2% per contract year</w:t>
      </w:r>
    </w:p>
    <w:p>
      <w:pPr>
        <w:pStyle w:val="BodyText"/>
        <w:ind w:hanging="2160" w:start="2160" w:end="0"/>
        <w:jc w:val="both"/>
        <w:rPr/>
      </w:pPr>
      <w:r>
        <w:rPr>
          <w:i w:val="false"/>
          <w:color w:val="auto"/>
          <w:sz w:val="22"/>
        </w:rPr>
        <w:tab/>
      </w:r>
      <w:r>
        <w:rPr>
          <w:i w:val="false"/>
          <w:color w:val="auto"/>
          <w:sz w:val="22"/>
          <w:u w:val="single"/>
        </w:rPr>
        <w:t>Alternative B</w:t>
      </w:r>
      <w:r>
        <w:rPr>
          <w:i w:val="false"/>
          <w:color w:val="auto"/>
          <w:sz w:val="22"/>
        </w:rPr>
        <w:t>:</w:t>
        <w:tab/>
        <w:t>$32.95 per MWh, escalating 2% per contract year</w:t>
      </w:r>
    </w:p>
    <w:p>
      <w:pPr>
        <w:pStyle w:val="BodyText"/>
        <w:ind w:hanging="2160" w:start="2160" w:end="0"/>
        <w:jc w:val="both"/>
        <w:rPr/>
      </w:pPr>
      <w:r>
        <w:rPr>
          <w:i w:val="false"/>
          <w:color w:val="auto"/>
          <w:sz w:val="22"/>
        </w:rPr>
        <w:tab/>
      </w:r>
      <w:r>
        <w:rPr>
          <w:i w:val="false"/>
          <w:color w:val="auto"/>
          <w:sz w:val="22"/>
          <w:u w:val="single"/>
        </w:rPr>
        <w:t>Alternative C</w:t>
      </w:r>
      <w:r>
        <w:rPr>
          <w:i w:val="false"/>
          <w:color w:val="auto"/>
          <w:sz w:val="22"/>
        </w:rPr>
        <w:t>:</w:t>
        <w:tab/>
        <w:t>$26.90 per MWh, escalating 2% per contract year</w:t>
      </w:r>
    </w:p>
    <w:p>
      <w:pPr>
        <w:pStyle w:val="BodyText"/>
        <w:ind w:hanging="2160" w:start="2160" w:end="0"/>
        <w:jc w:val="both"/>
        <w:rPr/>
      </w:pPr>
      <w:r>
        <w:rPr>
          <w:i w:val="false"/>
          <w:color w:val="auto"/>
          <w:sz w:val="22"/>
        </w:rPr>
        <w:tab/>
      </w:r>
      <w:r>
        <w:rPr>
          <w:i w:val="false"/>
          <w:color w:val="auto"/>
          <w:sz w:val="22"/>
          <w:u w:val="single"/>
        </w:rPr>
        <w:t>Alternative D</w:t>
      </w:r>
      <w:r>
        <w:rPr>
          <w:i w:val="false"/>
          <w:color w:val="auto"/>
          <w:sz w:val="22"/>
        </w:rPr>
        <w:t>:</w:t>
        <w:tab/>
        <w:t>$28.12 per MWh, escalating 2% per contract year</w:t>
      </w:r>
    </w:p>
    <w:p>
      <w:pPr>
        <w:pStyle w:val="BodyText"/>
        <w:ind w:hanging="2160" w:start="2160" w:end="0"/>
        <w:jc w:val="both"/>
        <w:rPr/>
      </w:pPr>
      <w:r>
        <w:rPr>
          <w:i w:val="false"/>
          <w:color w:val="auto"/>
          <w:sz w:val="22"/>
        </w:rPr>
        <w:tab/>
      </w:r>
      <w:r>
        <w:rPr>
          <w:i w:val="false"/>
          <w:color w:val="auto"/>
          <w:sz w:val="22"/>
          <w:u w:val="single"/>
        </w:rPr>
        <w:t>Alternative E</w:t>
      </w:r>
      <w:r>
        <w:rPr>
          <w:i w:val="false"/>
          <w:color w:val="auto"/>
          <w:sz w:val="22"/>
        </w:rPr>
        <w:t>:</w:t>
        <w:tab/>
        <w:t>$27.20 per MWh, escalating 2% per contract year</w:t>
      </w:r>
    </w:p>
    <w:p>
      <w:pPr>
        <w:pStyle w:val="BodyText"/>
        <w:ind w:hanging="2160" w:start="2160" w:end="0"/>
        <w:jc w:val="both"/>
        <w:rPr>
          <w:i w:val="false"/>
          <w:i w:val="false"/>
          <w:color w:val="auto"/>
          <w:sz w:val="22"/>
        </w:rPr>
      </w:pPr>
      <w:r>
        <w:rPr>
          <w:i w:val="false"/>
          <w:color w:val="auto"/>
          <w:sz w:val="22"/>
        </w:rPr>
      </w:r>
    </w:p>
    <w:p>
      <w:pPr>
        <w:pStyle w:val="BodyText"/>
        <w:ind w:hanging="2160" w:start="2160" w:end="0"/>
        <w:jc w:val="both"/>
        <w:rPr>
          <w:i w:val="false"/>
          <w:i w:val="false"/>
          <w:color w:val="auto"/>
          <w:sz w:val="22"/>
        </w:rPr>
      </w:pPr>
      <w:r>
        <w:rPr>
          <w:i w:val="false"/>
          <w:color w:val="auto"/>
          <w:sz w:val="22"/>
        </w:rPr>
        <w:tab/>
        <w:t>These energy prices should be considered in the context of the Facility’s attractive capacity factors and on/off peak percentages, and the Annual Quantity assurance that EPMI is willing to provide, and the absence of a separate capacity charge.</w:t>
      </w:r>
    </w:p>
    <w:p>
      <w:pPr>
        <w:pStyle w:val="BodyText"/>
        <w:ind w:hanging="2160" w:start="2160" w:end="0"/>
        <w:jc w:val="both"/>
        <w:rPr>
          <w:i w:val="false"/>
          <w:i w:val="false"/>
          <w:color w:val="auto"/>
          <w:sz w:val="22"/>
        </w:rPr>
      </w:pPr>
      <w:r>
        <w:rPr>
          <w:i w:val="false"/>
          <w:color w:val="auto"/>
          <w:sz w:val="22"/>
        </w:rPr>
      </w:r>
    </w:p>
    <w:p>
      <w:pPr>
        <w:pStyle w:val="Heading5"/>
        <w:rPr>
          <w:sz w:val="22"/>
        </w:rPr>
      </w:pPr>
      <w:r>
        <w:rPr>
          <w:sz w:val="22"/>
        </w:rPr>
        <w:t>Capacity Charge:</w:t>
        <w:tab/>
      </w:r>
      <w:r>
        <w:rPr>
          <w:b w:val="false"/>
          <w:sz w:val="22"/>
        </w:rPr>
        <w:t>$0</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tab/>
      </w:r>
    </w:p>
    <w:p>
      <w:pPr>
        <w:pStyle w:val="BodyText"/>
        <w:ind w:hanging="2160" w:start="2160" w:end="0"/>
        <w:jc w:val="both"/>
        <w:rPr/>
      </w:pPr>
      <w:r>
        <w:rPr>
          <w:b/>
          <w:i w:val="false"/>
          <w:sz w:val="22"/>
        </w:rPr>
        <w:t>Schedule:</w:t>
      </w:r>
      <w:r>
        <w:rPr>
          <w:i w:val="false"/>
          <w:sz w:val="22"/>
        </w:rPr>
        <w:tab/>
        <w:t xml:space="preserve">GPG must take all renewable energy produced by the Facility at the Delivery Point up to 109% of the Annual Quantity.  </w:t>
      </w:r>
    </w:p>
    <w:p>
      <w:pPr>
        <w:pStyle w:val="BodyText"/>
        <w:jc w:val="both"/>
        <w:rPr>
          <w:b/>
          <w:i w:val="false"/>
          <w:i w:val="false"/>
          <w:sz w:val="22"/>
        </w:rPr>
      </w:pPr>
      <w:r>
        <w:rPr>
          <w:b/>
          <w:i w:val="false"/>
          <w:sz w:val="22"/>
        </w:rPr>
      </w:r>
    </w:p>
    <w:p>
      <w:pPr>
        <w:pStyle w:val="BodyText"/>
        <w:ind w:hanging="2160" w:start="2160" w:end="0"/>
        <w:jc w:val="both"/>
        <w:rPr>
          <w:b/>
          <w:i w:val="false"/>
          <w:i w:val="false"/>
          <w:sz w:val="22"/>
        </w:rPr>
      </w:pPr>
      <w:r>
        <w:rPr>
          <w:b/>
          <w:i w:val="false"/>
          <w:sz w:val="22"/>
        </w:rPr>
        <w:t xml:space="preserve">Qualified </w:t>
      </w:r>
    </w:p>
    <w:p>
      <w:pPr>
        <w:pStyle w:val="BodyText"/>
        <w:ind w:hanging="2160" w:start="2160" w:end="0"/>
        <w:jc w:val="both"/>
        <w:rPr>
          <w:b/>
          <w:i w:val="false"/>
          <w:i w:val="false"/>
          <w:sz w:val="22"/>
        </w:rPr>
      </w:pPr>
      <w:r>
        <w:rPr>
          <w:b/>
          <w:i w:val="false"/>
          <w:sz w:val="22"/>
        </w:rPr>
        <w:t xml:space="preserve">Scheduling Entity </w:t>
      </w:r>
    </w:p>
    <w:p>
      <w:pPr>
        <w:pStyle w:val="BodyText"/>
        <w:ind w:hanging="2160" w:start="2160" w:end="0"/>
        <w:jc w:val="both"/>
        <w:rPr/>
      </w:pPr>
      <w:r>
        <w:rPr>
          <w:b/>
          <w:i w:val="false"/>
          <w:sz w:val="22"/>
        </w:rPr>
        <w:t>Services:</w:t>
        <w:tab/>
      </w:r>
      <w:r>
        <w:rPr>
          <w:i w:val="false"/>
          <w:sz w:val="22"/>
        </w:rPr>
        <w:t>GPG could provide Qualified Scheduling Entity (“QSE”) services for itself in Texas or contract with EPMI to provide this service. Upon execution of a separate definitive agreement for QSE services, EPMI would provide QSE services to GPG in order to:</w:t>
      </w:r>
    </w:p>
    <w:p>
      <w:pPr>
        <w:pStyle w:val="BodyText"/>
        <w:ind w:hanging="2160" w:start="2160" w:end="0"/>
        <w:jc w:val="both"/>
        <w:rPr>
          <w:i w:val="false"/>
          <w:i w:val="false"/>
          <w:sz w:val="22"/>
        </w:rPr>
      </w:pPr>
      <w:r>
        <w:rPr>
          <w:i w:val="false"/>
          <w:sz w:val="22"/>
        </w:rPr>
      </w:r>
    </w:p>
    <w:p>
      <w:pPr>
        <w:pStyle w:val="BodyText"/>
        <w:numPr>
          <w:ilvl w:val="0"/>
          <w:numId w:val="3"/>
        </w:numPr>
        <w:jc w:val="both"/>
        <w:rPr>
          <w:i w:val="false"/>
          <w:i w:val="false"/>
          <w:sz w:val="22"/>
        </w:rPr>
      </w:pPr>
      <w:r>
        <w:rPr>
          <w:i w:val="false"/>
          <w:sz w:val="22"/>
        </w:rPr>
        <w:t>Schedule delivery of the renewable energy to GPG’s Texas members, and/or</w:t>
      </w:r>
    </w:p>
    <w:p>
      <w:pPr>
        <w:pStyle w:val="BodyText"/>
        <w:numPr>
          <w:ilvl w:val="0"/>
          <w:numId w:val="3"/>
        </w:numPr>
        <w:jc w:val="both"/>
        <w:rPr>
          <w:i w:val="false"/>
          <w:i w:val="false"/>
          <w:sz w:val="22"/>
        </w:rPr>
      </w:pPr>
      <w:r>
        <w:rPr>
          <w:i w:val="false"/>
          <w:sz w:val="22"/>
        </w:rPr>
        <w:t>Schedule renewable energy to be sold into the ERCOT 15-minute interval Balancing Energy Market.</w:t>
      </w:r>
    </w:p>
    <w:p>
      <w:pPr>
        <w:pStyle w:val="BodyText"/>
        <w:ind w:start="2160" w:end="0"/>
        <w:jc w:val="both"/>
        <w:rPr>
          <w:i w:val="false"/>
          <w:i w:val="false"/>
          <w:sz w:val="22"/>
        </w:rPr>
      </w:pPr>
      <w:r>
        <w:rPr>
          <w:i w:val="false"/>
          <w:sz w:val="22"/>
        </w:rPr>
      </w:r>
    </w:p>
    <w:p>
      <w:pPr>
        <w:pStyle w:val="BodyText"/>
        <w:ind w:start="2160" w:end="0"/>
        <w:jc w:val="both"/>
        <w:rPr>
          <w:i w:val="false"/>
          <w:i w:val="false"/>
          <w:sz w:val="22"/>
        </w:rPr>
      </w:pPr>
      <w:r>
        <w:rPr>
          <w:i w:val="false"/>
          <w:sz w:val="22"/>
        </w:rPr>
        <w:t>These services would allow GPG to either use the renewable energy for their consumption or sell the renewable energy into the ERCOT market and keep the associated Renewable Energy Credits for their own use.</w:t>
      </w:r>
    </w:p>
    <w:p>
      <w:pPr>
        <w:pStyle w:val="BodyText"/>
        <w:ind w:start="2160" w:end="0"/>
        <w:jc w:val="both"/>
        <w:rPr>
          <w:i w:val="false"/>
          <w:i w:val="false"/>
          <w:sz w:val="22"/>
        </w:rPr>
      </w:pPr>
      <w:r>
        <w:rPr>
          <w:i w:val="false"/>
          <w:sz w:val="22"/>
        </w:rPr>
      </w:r>
    </w:p>
    <w:p>
      <w:pPr>
        <w:pStyle w:val="BodyText"/>
        <w:ind w:start="2160" w:end="0"/>
        <w:jc w:val="both"/>
        <w:rPr>
          <w:i w:val="false"/>
          <w:i w:val="false"/>
          <w:sz w:val="22"/>
        </w:rPr>
      </w:pPr>
      <w:r>
        <w:rPr>
          <w:i w:val="false"/>
          <w:sz w:val="22"/>
        </w:rPr>
        <w:t>GPG would be responsible for determining and communicating schedules to EPMI.  EPMI as QSE would communicate those schedules to the ERCOT ISO and perform other QSE duties pursuant to the ERCOT Protocols.  GPG would be responsible for all imbalance settlement charges based on the schedule it provides to EPMI.  EPMI will be a PUCT certified QSE in Texas.</w:t>
      </w:r>
    </w:p>
    <w:p>
      <w:pPr>
        <w:pStyle w:val="BodyText"/>
        <w:ind w:hanging="2160" w:start="2160" w:end="0"/>
        <w:jc w:val="both"/>
        <w:rPr>
          <w:b/>
          <w:i w:val="false"/>
          <w:i w:val="false"/>
          <w:sz w:val="22"/>
        </w:rPr>
      </w:pPr>
      <w:r>
        <w:rPr>
          <w:b/>
          <w:i w:val="false"/>
          <w:sz w:val="22"/>
        </w:rPr>
      </w:r>
    </w:p>
    <w:p>
      <w:pPr>
        <w:pStyle w:val="BodyText"/>
        <w:ind w:hanging="2160" w:start="2160" w:end="0"/>
        <w:jc w:val="both"/>
        <w:rPr>
          <w:b/>
          <w:i w:val="false"/>
          <w:i w:val="false"/>
          <w:sz w:val="22"/>
        </w:rPr>
      </w:pPr>
      <w:r>
        <w:rPr>
          <w:b/>
          <w:i w:val="false"/>
          <w:sz w:val="22"/>
        </w:rPr>
        <w:t>“</w:t>
      </w:r>
      <w:r>
        <w:rPr>
          <w:b/>
          <w:i w:val="false"/>
          <w:sz w:val="22"/>
        </w:rPr>
        <w:t>Buyout” Price:</w:t>
        <w:tab/>
      </w:r>
      <w:r>
        <w:rPr>
          <w:i w:val="false"/>
          <w:sz w:val="22"/>
        </w:rPr>
        <w:t>GPG would have the right to buy out of the definitive agreement at any time. GPG could request a buyout price no more than once per contract year. EPMI would thereupon provide GPG a buyout price in a timely manner based on market prices.</w:t>
      </w:r>
    </w:p>
    <w:p>
      <w:pPr>
        <w:pStyle w:val="Normal"/>
        <w:ind w:hanging="2160" w:start="2160" w:end="0"/>
        <w:jc w:val="both"/>
        <w:rPr>
          <w:rFonts w:ascii="Arial" w:hAnsi="Arial" w:cs="Arial"/>
          <w:b/>
          <w:i/>
          <w:i/>
          <w:sz w:val="22"/>
        </w:rPr>
      </w:pPr>
      <w:r>
        <w:rPr>
          <w:rFonts w:cs="Arial" w:ascii="Arial" w:hAnsi="Arial"/>
          <w:b/>
          <w:i/>
          <w:sz w:val="22"/>
        </w:rPr>
      </w:r>
      <w:r>
        <w:br w:type="page"/>
      </w:r>
    </w:p>
    <w:p>
      <w:pPr>
        <w:pStyle w:val="Normal"/>
        <w:ind w:hanging="2160" w:start="2160" w:end="0"/>
        <w:jc w:val="both"/>
        <w:rPr>
          <w:rFonts w:ascii="Arial" w:hAnsi="Arial" w:cs="Arial"/>
          <w:b/>
          <w:sz w:val="22"/>
        </w:rPr>
      </w:pPr>
      <w:r>
        <w:rPr>
          <w:rFonts w:cs="Arial" w:ascii="Arial" w:hAnsi="Arial"/>
          <w:b/>
          <w:sz w:val="22"/>
        </w:rPr>
        <w:t xml:space="preserve">Transmission </w:t>
      </w:r>
    </w:p>
    <w:p>
      <w:pPr>
        <w:pStyle w:val="Normal"/>
        <w:ind w:hanging="2160" w:start="2160" w:end="0"/>
        <w:jc w:val="both"/>
        <w:rPr/>
      </w:pPr>
      <w:r>
        <w:rPr>
          <w:rFonts w:cs="Arial" w:ascii="Arial" w:hAnsi="Arial"/>
          <w:b/>
          <w:sz w:val="22"/>
        </w:rPr>
        <w:t>Accessibility:</w:t>
        <w:tab/>
      </w:r>
      <w:r>
        <w:rPr>
          <w:rFonts w:cs="Arial" w:ascii="Arial" w:hAnsi="Arial"/>
          <w:color w:val="000000"/>
          <w:sz w:val="22"/>
        </w:rPr>
        <w:t>Two separate interconnection facilities will be constructed and interconnect the Facility with WTU’s 138kV Rio Pecos to Fort Lancaster substation transmission line and 69kV (projected to be upgraded to 138kV) North McCamey to Tippet substation transmission line.  One or both of these interconnections will be operational prior to May 1, 2002.</w:t>
      </w:r>
    </w:p>
    <w:p>
      <w:pPr>
        <w:pStyle w:val="Normal"/>
        <w:ind w:hanging="2160" w:start="2160" w:end="0"/>
        <w:jc w:val="both"/>
        <w:rPr>
          <w:rFonts w:ascii="Arial" w:hAnsi="Arial" w:cs="Arial"/>
          <w:b/>
          <w:color w:val="000000"/>
          <w:sz w:val="22"/>
        </w:rPr>
      </w:pPr>
      <w:r>
        <w:rPr>
          <w:rFonts w:cs="Arial" w:ascii="Arial" w:hAnsi="Arial"/>
          <w:b/>
          <w:color w:val="000000"/>
          <w:sz w:val="22"/>
        </w:rPr>
      </w:r>
    </w:p>
    <w:p>
      <w:pPr>
        <w:pStyle w:val="Normal"/>
        <w:ind w:hanging="2160" w:start="2160" w:end="0"/>
        <w:jc w:val="both"/>
        <w:rPr>
          <w:rFonts w:ascii="Arial" w:hAnsi="Arial" w:cs="Arial"/>
          <w:b/>
          <w:sz w:val="22"/>
        </w:rPr>
      </w:pPr>
      <w:r>
        <w:rPr>
          <w:rFonts w:cs="Arial" w:ascii="Arial" w:hAnsi="Arial"/>
          <w:b/>
          <w:sz w:val="22"/>
        </w:rPr>
        <w:tab/>
      </w:r>
      <w:r>
        <w:rPr>
          <w:rFonts w:cs="Arial" w:ascii="Arial" w:hAnsi="Arial"/>
          <w:color w:val="000000"/>
          <w:sz w:val="22"/>
        </w:rPr>
        <w:t>An interconnection agreement has been negotiated with WTU and is pending internal Enron approval.</w:t>
      </w:r>
    </w:p>
    <w:p>
      <w:pPr>
        <w:pStyle w:val="Normal"/>
        <w:ind w:hanging="2160" w:start="2160" w:end="0"/>
        <w:jc w:val="both"/>
        <w:rPr>
          <w:rFonts w:ascii="Arial" w:hAnsi="Arial" w:cs="Arial"/>
          <w:b/>
          <w:sz w:val="22"/>
        </w:rPr>
      </w:pPr>
      <w:r>
        <w:rPr>
          <w:rFonts w:cs="Arial" w:ascii="Arial" w:hAnsi="Arial"/>
          <w:b/>
          <w:sz w:val="22"/>
        </w:rPr>
      </w:r>
    </w:p>
    <w:p>
      <w:pPr>
        <w:pStyle w:val="Normal"/>
        <w:ind w:hanging="2160" w:start="2160" w:end="0"/>
        <w:jc w:val="both"/>
        <w:rPr>
          <w:rFonts w:ascii="Arial" w:hAnsi="Arial" w:cs="Arial"/>
          <w:b/>
          <w:sz w:val="22"/>
        </w:rPr>
      </w:pPr>
      <w:r>
        <w:rPr>
          <w:rFonts w:cs="Arial" w:ascii="Arial" w:hAnsi="Arial"/>
          <w:b/>
          <w:sz w:val="22"/>
        </w:rPr>
        <w:t xml:space="preserve">Terms and </w:t>
      </w:r>
    </w:p>
    <w:p>
      <w:pPr>
        <w:pStyle w:val="Normal"/>
        <w:ind w:hanging="2160" w:start="2160" w:end="0"/>
        <w:jc w:val="both"/>
        <w:rPr/>
      </w:pPr>
      <w:r>
        <w:rPr>
          <w:rFonts w:cs="Arial" w:ascii="Arial" w:hAnsi="Arial"/>
          <w:b/>
          <w:sz w:val="22"/>
        </w:rPr>
        <w:t>Conditions:</w:t>
        <w:tab/>
      </w:r>
      <w:r>
        <w:rPr>
          <w:rFonts w:cs="Arial" w:ascii="Arial" w:hAnsi="Arial"/>
          <w:sz w:val="22"/>
        </w:rPr>
        <w:t xml:space="preserve">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w:t>
      </w:r>
    </w:p>
    <w:p>
      <w:pPr>
        <w:pStyle w:val="Normal"/>
        <w:ind w:hanging="2160" w:start="2160" w:end="0"/>
        <w:jc w:val="both"/>
        <w:rPr>
          <w:rFonts w:ascii="Arial" w:hAnsi="Arial" w:cs="Arial"/>
          <w:sz w:val="22"/>
        </w:rPr>
      </w:pPr>
      <w:r>
        <w:rPr>
          <w:rFonts w:cs="Arial" w:ascii="Arial" w:hAnsi="Arial"/>
          <w:sz w:val="22"/>
        </w:rPr>
      </w:r>
    </w:p>
    <w:p>
      <w:pPr>
        <w:pStyle w:val="Normal"/>
        <w:ind w:hanging="2160" w:start="2160" w:end="0"/>
        <w:jc w:val="both"/>
        <w:rPr/>
      </w:pPr>
      <w:r>
        <w:rPr>
          <w:rFonts w:cs="Arial" w:ascii="Arial" w:hAnsi="Arial"/>
          <w:b/>
          <w:sz w:val="22"/>
        </w:rPr>
        <w:t>Confidentiality:</w:t>
      </w:r>
      <w:r>
        <w:rPr>
          <w:rFonts w:cs="Arial" w:ascii="Arial" w:hAnsi="Arial"/>
          <w:sz w:val="22"/>
        </w:rPr>
        <w:tab/>
        <w:t>The existence of this Draft Term Sheet and all terms and conditions contained herein are confidential between Buyer and Seller and their duly appointed representatives and shall not be disclosed to third parties.</w:t>
      </w:r>
    </w:p>
    <w:p>
      <w:pPr>
        <w:pStyle w:val="BodyText"/>
        <w:ind w:hanging="2160" w:start="2160" w:end="0"/>
        <w:jc w:val="both"/>
        <w:rPr>
          <w:rFonts w:ascii="Arial" w:hAnsi="Arial" w:cs="Arial"/>
          <w:b/>
          <w:i w:val="false"/>
          <w:i w:val="false"/>
          <w:sz w:val="22"/>
        </w:rPr>
      </w:pPr>
      <w:r>
        <w:rPr>
          <w:rFonts w:cs="Arial"/>
          <w:b/>
          <w:i w:val="false"/>
          <w:sz w:val="22"/>
        </w:rPr>
      </w:r>
    </w:p>
    <w:p>
      <w:pPr>
        <w:pStyle w:val="BodyText"/>
        <w:jc w:val="both"/>
        <w:rPr>
          <w:b/>
          <w:i w:val="false"/>
          <w:i w:val="false"/>
          <w:sz w:val="22"/>
        </w:rPr>
      </w:pPr>
      <w:r>
        <w:rPr>
          <w:b/>
          <w:i w:val="false"/>
          <w:sz w:val="22"/>
        </w:rPr>
      </w:r>
    </w:p>
    <w:p>
      <w:pPr>
        <w:pStyle w:val="BodyText"/>
        <w:jc w:val="both"/>
        <w:rPr>
          <w:b/>
          <w:i w:val="false"/>
          <w:i w:val="false"/>
          <w:sz w:val="22"/>
        </w:rPr>
      </w:pPr>
      <w:r>
        <w:rPr>
          <w:b/>
          <w:i w:val="false"/>
          <w:sz w:val="22"/>
        </w:rPr>
      </w:r>
    </w:p>
    <w:p>
      <w:pPr>
        <w:pStyle w:val="BodyText"/>
        <w:jc w:val="both"/>
        <w:rPr>
          <w:b/>
          <w:i w:val="false"/>
          <w:i w:val="false"/>
          <w:sz w:val="22"/>
        </w:rPr>
      </w:pPr>
      <w:r>
        <w:rPr>
          <w:b/>
          <w:i w:val="false"/>
          <w:sz w:val="22"/>
        </w:rPr>
        <w:t>Not An Offer, For Discussion Purposes Only:  The prices and terms of this Draft Term Sheet are subject to change until a definitive agreement is reached, if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credit and limitation of damages and remedies.  Neither party shall disclose the terms and provisions of this Draft Term Sheet to any third party.</w:t>
      </w:r>
    </w:p>
    <w:sectPr>
      <w:headerReference w:type="default" r:id="rId2"/>
      <w:footerReference w:type="default" r:id="rId3"/>
      <w:type w:val="nextPage"/>
      <w:pgSz w:w="12240" w:h="15840"/>
      <w:pgMar w:left="1800" w:right="1800" w:gutter="0" w:header="720" w:top="1710" w:footer="93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drawing>
        <wp:anchor behindDoc="1" distT="0" distB="0" distL="114935" distR="114935" simplePos="0" locked="0" layoutInCell="1" allowOverlap="1" relativeHeight="6">
          <wp:simplePos x="0" y="0"/>
          <wp:positionH relativeFrom="column">
            <wp:posOffset>4892040</wp:posOffset>
          </wp:positionH>
          <wp:positionV relativeFrom="paragraph">
            <wp:posOffset>25400</wp:posOffset>
          </wp:positionV>
          <wp:extent cx="606425" cy="609600"/>
          <wp:effectExtent l="0" t="0" r="0" b="0"/>
          <wp:wrapNone/>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1"/>
                  <a:srcRect l="-6" t="-6" r="-6" b="-6"/>
                  <a:stretch>
                    <a:fillRect/>
                  </a:stretch>
                </pic:blipFill>
                <pic:spPr bwMode="auto">
                  <a:xfrm>
                    <a:off x="0" y="0"/>
                    <a:ext cx="606425" cy="609600"/>
                  </a:xfrm>
                  <a:prstGeom prst="rect">
                    <a:avLst/>
                  </a:prstGeom>
                  <a:noFill/>
                </pic:spPr>
              </pic:pic>
            </a:graphicData>
          </a:graphic>
        </wp:anchor>
      </w:drawing>
    </w:r>
  </w:p>
  <w:p>
    <w:pPr>
      <w:pStyle w:val="Footer"/>
      <w:jc w:val="center"/>
      <w:rPr/>
    </w:pPr>
    <w:r>
      <w:rPr/>
    </w:r>
  </w:p>
  <w:p>
    <w:pPr>
      <w:pStyle w:val="Footer"/>
      <w:jc w:val="center"/>
      <w:rPr/>
    </w:pPr>
    <w:r>
      <w:rPr/>
      <w:t xml:space="preserve">Page </w:t>
    </w:r>
    <w:r>
      <w:rPr/>
      <w:fldChar w:fldCharType="begin"/>
    </w:r>
    <w:r>
      <w:rPr/>
      <w:instrText xml:space="preserve"> PAGE </w:instrText>
    </w:r>
    <w:r>
      <w:rPr/>
      <w:fldChar w:fldCharType="separate"/>
    </w:r>
    <w:r>
      <w:rPr/>
      <w:t>5</w:t>
    </w:r>
    <w:r>
      <w:rPr/>
      <w:fldChar w:fldCharType="end"/>
    </w:r>
    <w:r>
      <w:rPr/>
      <w:t xml:space="preserve"> of </w:t>
    </w:r>
    <w:r>
      <w:rPr/>
      <w:fldChar w:fldCharType="begin"/>
    </w:r>
    <w:r>
      <w:rPr/>
      <w:instrText xml:space="preserve"> NUMPAGES \* ARABIC </w:instrText>
    </w:r>
    <w:r>
      <w:rPr/>
      <w:fldChar w:fldCharType="separate"/>
    </w:r>
    <w:r>
      <w:rPr/>
      <w:t>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b/>
      </w:rPr>
    </w:pPr>
    <w:r>
      <w:rPr>
        <w:b/>
      </w:rPr>
      <w:t>PROPRIETARY &amp; CONFIDENTIAL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2520"/>
        </w:tabs>
        <w:ind w:start="252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tLeast" w:line="240"/>
      <w:ind w:hanging="1980" w:start="1980" w:end="0"/>
      <w:jc w:val="center"/>
      <w:outlineLvl w:val="3"/>
    </w:pPr>
    <w:rPr>
      <w:rFonts w:ascii="Arial" w:hAnsi="Arial" w:cs="Arial"/>
      <w:b/>
      <w:color w:val="000000"/>
    </w:rPr>
  </w:style>
  <w:style w:type="paragraph" w:styleId="Heading5">
    <w:name w:val="heading 5"/>
    <w:basedOn w:val="Normal"/>
    <w:next w:val="Normal"/>
    <w:qFormat/>
    <w:pPr>
      <w:keepNext w:val="true"/>
      <w:numPr>
        <w:ilvl w:val="4"/>
        <w:numId w:val="1"/>
      </w:numPr>
      <w:spacing w:lineRule="atLeast" w:line="240"/>
      <w:ind w:hanging="2160" w:start="2160" w:end="0"/>
      <w:jc w:val="both"/>
      <w:outlineLvl w:val="4"/>
    </w:pPr>
    <w:rPr>
      <w:rFonts w:ascii="Arial" w:hAnsi="Arial" w:cs="Arial"/>
      <w:b/>
      <w:color w:val="000000"/>
    </w:rPr>
  </w:style>
  <w:style w:type="paragraph" w:styleId="Heading6">
    <w:name w:val="heading 6"/>
    <w:basedOn w:val="Normal"/>
    <w:next w:val="Normal"/>
    <w:qFormat/>
    <w:pPr>
      <w:keepNext w:val="true"/>
      <w:numPr>
        <w:ilvl w:val="5"/>
        <w:numId w:val="1"/>
      </w:numPr>
      <w:ind w:hanging="2160" w:start="2160" w:end="0"/>
      <w:jc w:val="both"/>
      <w:outlineLvl w:val="5"/>
    </w:pPr>
    <w:rPr>
      <w:rFonts w:ascii="Arial" w:hAnsi="Arial" w:cs="Arial"/>
      <w:b/>
    </w:rPr>
  </w:style>
  <w:style w:type="paragraph" w:styleId="Heading7">
    <w:name w:val="heading 7"/>
    <w:basedOn w:val="Normal"/>
    <w:next w:val="Normal"/>
    <w:qFormat/>
    <w:pPr>
      <w:keepNext w:val="true"/>
      <w:numPr>
        <w:ilvl w:val="6"/>
        <w:numId w:val="1"/>
      </w:numPr>
      <w:ind w:hanging="2160" w:start="2160" w:end="0"/>
      <w:outlineLvl w:val="6"/>
    </w:pPr>
    <w:rPr>
      <w:rFonts w:ascii="Arial" w:hAnsi="Arial" w:cs="Arial"/>
      <w:b/>
      <w:color w:val="000000"/>
      <w:sz w:val="22"/>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b/>
      <w:i/>
      <w:color w:val="000000"/>
    </w:rPr>
  </w:style>
  <w:style w:type="character" w:styleId="WW8Num7z0">
    <w:name w:val="WW8Num7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rPr>
  </w:style>
  <w:style w:type="paragraph" w:styleId="BodyTextIndent2">
    <w:name w:val="Body Text Indent 2"/>
    <w:basedOn w:val="Normal"/>
    <w:qFormat/>
    <w:pPr>
      <w:spacing w:lineRule="atLeast" w:line="240"/>
      <w:ind w:hanging="2250" w:start="2250" w:end="0"/>
    </w:pPr>
    <w:rPr>
      <w:rFonts w:ascii="Arial" w:hAnsi="Arial" w:cs="Arial"/>
      <w:color w:val="000000"/>
    </w:rPr>
  </w:style>
  <w:style w:type="paragraph" w:styleId="BodyText2">
    <w:name w:val="Body Text 2"/>
    <w:basedOn w:val="Normal"/>
    <w:qFormat/>
    <w:pPr>
      <w:jc w:val="center"/>
    </w:pPr>
    <w:rPr>
      <w:rFonts w:ascii="Arial" w:hAnsi="Arial" w:cs="Arial"/>
      <w:b/>
    </w:rPr>
  </w:style>
  <w:style w:type="paragraph" w:styleId="BodyTextIndent3">
    <w:name w:val="Body Text Indent 3"/>
    <w:basedOn w:val="Normal"/>
    <w:qFormat/>
    <w:pPr>
      <w:ind w:hanging="0" w:start="2160" w:end="0"/>
      <w:jc w:val="both"/>
    </w:pPr>
    <w:rPr>
      <w:rFonts w:ascii="Arial" w:hAnsi="Arial" w:cs="Arial"/>
    </w:rPr>
  </w:style>
  <w:style w:type="paragraph" w:styleId="ListContinue">
    <w:name w:val="List Continue"/>
    <w:basedOn w:val="List"/>
    <w:qFormat/>
    <w:pPr>
      <w:numPr>
        <w:ilvl w:val="0"/>
        <w:numId w:val="5"/>
      </w:numPr>
      <w:spacing w:before="0" w:after="120"/>
      <w:ind w:hanging="0" w:start="1440" w:end="0"/>
    </w:pPr>
    <w:rPr>
      <w:rFonts w:ascii="Arial" w:hAnsi="Arial" w:cs="Arial"/>
      <w:sz w:val="22"/>
    </w:rPr>
  </w:style>
  <w:style w:type="paragraph" w:styleId="BodyText3">
    <w:name w:val="Body Text 3"/>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2001-01-31T10:01:00Z</dcterms:created>
  <dc:creator>Michael J. Curry</dc:creator>
  <dc:description/>
  <dc:language>en-CA</dc:language>
  <cp:lastModifiedBy>mcurry</cp:lastModifiedBy>
  <cp:lastPrinted>2001-01-30T16:49:00Z</cp:lastPrinted>
  <dcterms:modified xsi:type="dcterms:W3CDTF">2001-01-31T10:01:00Z</dcterms:modified>
  <cp:revision>2</cp:revision>
  <dc:subject/>
  <dc:title>Dave,  Here is an indicative three year proposal for your consideration:</dc:title>
</cp:coreProperties>
</file>