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Parties recognize that there are disputes regarding ISO and PX settlement statements that are outside the scope of this proceeding.  These include:</w:t>
      </w:r>
    </w:p>
    <w:p>
      <w:pPr>
        <w:pStyle w:val="Normal"/>
        <w:jc w:val="both"/>
        <w:rPr/>
      </w:pPr>
      <w:r>
        <w:rPr/>
      </w:r>
    </w:p>
    <w:p>
      <w:pPr>
        <w:pStyle w:val="Default2"/>
        <w:numPr>
          <w:ilvl w:val="0"/>
          <w:numId w:val="0"/>
        </w:numPr>
        <w:spacing w:before="0" w:after="0"/>
        <w:ind w:hanging="720" w:start="1440" w:end="0"/>
        <w:outlineLvl w:val="9"/>
        <w:rPr/>
      </w:pPr>
      <w:r>
        <w:rPr/>
        <w:t xml:space="preserve"> </w:t>
      </w:r>
      <w:r>
        <w:rPr/>
        <w:t xml:space="preserve">(1) </w:t>
        <w:tab/>
        <w:t>settlement disputes and corrections already resolved or agreed to but not included in resettlements; and</w:t>
      </w:r>
    </w:p>
    <w:p>
      <w:pPr>
        <w:pStyle w:val="Normal"/>
        <w:ind w:hanging="720" w:start="1440" w:end="0"/>
        <w:jc w:val="both"/>
        <w:rPr/>
      </w:pPr>
      <w:r>
        <w:rPr/>
      </w:r>
    </w:p>
    <w:p>
      <w:pPr>
        <w:pStyle w:val="Default2"/>
        <w:numPr>
          <w:ilvl w:val="0"/>
          <w:numId w:val="1"/>
        </w:numPr>
        <w:spacing w:before="0" w:after="0"/>
        <w:outlineLvl w:val="9"/>
        <w:rPr/>
      </w:pPr>
      <w:r>
        <w:rPr/>
        <w:t>settlement disputes that either have not yet been resolved or not yet been raised.</w:t>
        <w:br/>
      </w:r>
    </w:p>
    <w:p>
      <w:pPr>
        <w:pStyle w:val="Normal"/>
        <w:jc w:val="both"/>
        <w:rPr/>
      </w:pPr>
      <w:r>
        <w:rPr/>
      </w:r>
    </w:p>
    <w:p>
      <w:pPr>
        <w:pStyle w:val="Normal"/>
        <w:rPr/>
      </w:pPr>
      <w:r>
        <w:rPr/>
        <w:t xml:space="preserve">Disputes in these categories (a) are not expected to have any effect on the calculation of the mitigated clearing price, (b) were not set for hearing in this case, and (c) will not be litigated in this case.  This proceeding will not resolve or extinguish these disputes and their eventual resolution through other mechanisms could adjust the amounts ultimately owed by or due to any buyer or seller. </w:t>
      </w:r>
    </w:p>
    <w:p>
      <w:pPr>
        <w:pStyle w:val="Normal"/>
        <w:jc w:val="both"/>
        <w:rPr/>
      </w:pPr>
      <w:r>
        <w:rPr/>
      </w:r>
    </w:p>
    <w:p>
      <w:pPr>
        <w:pStyle w:val="Normal"/>
        <w:rPr/>
      </w:pPr>
      <w:r>
        <w:rPr/>
        <w:t>The ISO and PX further recognize that certain settlement disputes have been resolved, and corrections agreed to, but, due to the fact that these corrections were made manually, they are not reflected in the resettlement statements.   Accordingly, the ISO and PX agree that unless otherwise ordered or instructed by the Commission, each will re-compute affected settlement statements at the earliest possible date following the Commission’s order on the Presiding Judge’s findings of fact in this proceeding.</w:t>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color w:val="000000"/>
    </w:rPr>
  </w:style>
  <w:style w:type="character" w:styleId="WW8Num2z6">
    <w:name w:val="WW8Num2z6"/>
    <w:qFormat/>
    <w:rPr/>
  </w:style>
  <w:style w:type="character" w:styleId="DefaultParagraphFont">
    <w:name w:val="Default Paragraph Font"/>
    <w:qFormat/>
    <w:rPr/>
  </w:style>
  <w:style w:type="character" w:styleId="PageNumber">
    <w:name w:val="page number"/>
    <w:basedOn w:val="DefaultParagraphFont"/>
    <w:rPr/>
  </w:style>
  <w:style w:type="character" w:styleId="TOCMark">
    <w:name w:val="TOC_Mark"/>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BodyTextIndent">
    <w:name w:val="Body Text Indent"/>
    <w:basedOn w:val="Normal"/>
    <w:pPr>
      <w:spacing w:lineRule="auto" w:line="360"/>
      <w:ind w:firstLine="720" w:start="0" w:end="0"/>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2"/>
      </w:numPr>
      <w:spacing w:before="0" w:after="240"/>
      <w:outlineLvl w:val="0"/>
    </w:pPr>
    <w:rPr/>
  </w:style>
  <w:style w:type="paragraph" w:styleId="Default2">
    <w:name w:val="Default2"/>
    <w:basedOn w:val="Normal"/>
    <w:qFormat/>
    <w:pPr>
      <w:numPr>
        <w:ilvl w:val="0"/>
        <w:numId w:val="2"/>
      </w:numPr>
      <w:spacing w:before="0" w:after="240"/>
      <w:outlineLvl w:val="1"/>
    </w:pPr>
    <w:rPr/>
  </w:style>
  <w:style w:type="paragraph" w:styleId="Default3">
    <w:name w:val="Default3"/>
    <w:basedOn w:val="Normal"/>
    <w:qFormat/>
    <w:pPr>
      <w:numPr>
        <w:ilvl w:val="0"/>
        <w:numId w:val="2"/>
      </w:numPr>
      <w:tabs>
        <w:tab w:val="clear" w:pos="720"/>
      </w:tabs>
      <w:spacing w:before="0" w:after="240"/>
      <w:outlineLvl w:val="2"/>
    </w:pPr>
    <w:rPr/>
  </w:style>
  <w:style w:type="paragraph" w:styleId="Default4">
    <w:name w:val="Default4"/>
    <w:basedOn w:val="Normal"/>
    <w:qFormat/>
    <w:pPr>
      <w:numPr>
        <w:ilvl w:val="0"/>
        <w:numId w:val="2"/>
      </w:numPr>
      <w:spacing w:before="0" w:after="240"/>
      <w:ind w:hanging="720" w:start="2880" w:end="0"/>
      <w:outlineLvl w:val="3"/>
    </w:pPr>
    <w:rPr/>
  </w:style>
  <w:style w:type="paragraph" w:styleId="Default5">
    <w:name w:val="Default5"/>
    <w:basedOn w:val="Normal"/>
    <w:qFormat/>
    <w:pPr>
      <w:numPr>
        <w:ilvl w:val="0"/>
        <w:numId w:val="2"/>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6"/>
      <w:szCs w:val="20"/>
      <w:lang w:val="en-US" w:bidi="ar-SA" w:eastAsia="zh-C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2001-09-07T12:27:00Z</dcterms:created>
  <dc:creator>rroberts</dc:creator>
  <dc:description/>
  <dc:language>en-CA</dc:language>
  <cp:lastModifiedBy>ralvare2</cp:lastModifiedBy>
  <cp:lastPrinted>2001-09-04T17:41:00Z</cp:lastPrinted>
  <dcterms:modified xsi:type="dcterms:W3CDTF">2001-09-07T12:27:00Z</dcterms:modified>
  <cp:revision>2</cp:revision>
  <dc:subject/>
  <dc:title>The Parties recognize that there are disputes regarding ISO and PX settlement statements that are outside the scope of this proceeding</dc:title>
</cp:coreProperties>
</file>