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u w:val="single"/>
        </w:rPr>
      </w:pPr>
      <w:r>
        <w:rPr>
          <w:u w:val="single"/>
        </w:rPr>
        <w:t>Draft Regulatory Framework to Provide ENA with Competitive Advantage</w:t>
      </w:r>
    </w:p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Capital Adequacy Requirements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The definition of allowable “Regulatory Capital” will be an issue.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Capital adequacy requirements can be a two-edged sword: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Requirements at a sufficiently high level will serve as a barrier to entry into the market by our competitors.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Limitations will restrict the flexibility we have historically enjoyed with respect to corporate accounting.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Financial Reporting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Regulators will see financial reporting as a minimal requirement for regulated dealers.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It will be a challenge to maintain the confidentiality of such reports – reported information may be available to the public.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Sophisticated Internal Controls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Require: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Value at Risk methodology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Daily mark-to-market</w:t>
      </w:r>
    </w:p>
    <w:p>
      <w:pPr>
        <w:pStyle w:val="Normal"/>
        <w:numPr>
          <w:ilvl w:val="2"/>
          <w:numId w:val="1"/>
        </w:numPr>
        <w:rPr>
          <w:sz w:val="24"/>
        </w:rPr>
      </w:pPr>
      <w:r>
        <w:rPr>
          <w:sz w:val="24"/>
        </w:rPr>
        <w:t>Credit evaluations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Periodic evaluation of controls by regulator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Independent Auditors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Require independent auditors with significant trading expertise.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CFTC Jurisdiction Over OTC Commodity Derivatives Dealers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Maintaining jurisdiction of the CFTC is critical – the alternative is most likely to be the SEC, which would certainly result in a much heavier regulatory hand and remove Congressional jurisdiction to more powerful and less easily influenced committees.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This jurisdiction can be given in a rational manner to cover “non-financial commodities with finite supplies,” the language used in the President’s Working Group Report.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Enactment of the Swaps Exemption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A statutory swaps exemption will ensure a minimal level of legal certainty for energy derivatives even under CFTC jurisdiction by removing the CFTC’s ability to revise the exemption without Congressional approval.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The exemption can also be justified as protective of retail consumers.</w:t>
      </w:r>
    </w:p>
    <w:p>
      <w:pPr>
        <w:pStyle w:val="Normal"/>
        <w:numPr>
          <w:ilvl w:val="1"/>
          <w:numId w:val="1"/>
        </w:numPr>
        <w:rPr>
          <w:sz w:val="24"/>
        </w:rPr>
      </w:pPr>
      <w:r>
        <w:rPr>
          <w:sz w:val="24"/>
        </w:rPr>
        <w:t>The existing swaps exemption gives acceptable flexibility for our business as it is conducted today.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/mnt/main-storage/datasets/enron-docs/doc/Draft_Regulatory_Framework.doc</w:t>
    </w:r>
    <w:r>
      <w:rPr>
        <w:sz w:val="16"/>
        <w:lang w:eastAsia="en-US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</w:lvl>
    <w:lvl w:ilvl="1">
      <w:start w:val="1"/>
      <w:numFmt w:val="lowerLetter"/>
      <w:lvlText w:val="%2)"/>
      <w:lvlJc w:val="start"/>
      <w:pPr>
        <w:tabs>
          <w:tab w:val="num" w:pos="720"/>
        </w:tabs>
        <w:ind w:start="720" w:hanging="360"/>
      </w:pPr>
    </w:lvl>
    <w:lvl w:ilvl="2">
      <w:start w:val="1"/>
      <w:numFmt w:val="lowerRoman"/>
      <w:lvlText w:val="%3)"/>
      <w:lvlJc w:val="start"/>
      <w:pPr>
        <w:tabs>
          <w:tab w:val="num" w:pos="1080"/>
        </w:tabs>
        <w:ind w:start="1080" w:hanging="360"/>
      </w:pPr>
    </w:lvl>
    <w:lvl w:ilvl="3">
      <w:start w:val="1"/>
      <w:numFmt w:val="decimal"/>
      <w:lvlText w:val="(%4)"/>
      <w:lvlJc w:val="start"/>
      <w:pPr>
        <w:tabs>
          <w:tab w:val="num" w:pos="1440"/>
        </w:tabs>
        <w:ind w:start="1440" w:hanging="360"/>
      </w:pPr>
    </w:lvl>
    <w:lvl w:ilvl="4">
      <w:start w:val="1"/>
      <w:numFmt w:val="lowerLetter"/>
      <w:lvlText w:val="(%5)"/>
      <w:lvlJc w:val="start"/>
      <w:pPr>
        <w:tabs>
          <w:tab w:val="num" w:pos="1800"/>
        </w:tabs>
        <w:ind w:start="1800" w:hanging="360"/>
      </w:pPr>
    </w:lvl>
    <w:lvl w:ilvl="5">
      <w:start w:val="1"/>
      <w:numFmt w:val="lowerRoman"/>
      <w:lvlText w:val="(%6)"/>
      <w:lvlJc w:val="start"/>
      <w:pPr>
        <w:tabs>
          <w:tab w:val="num" w:pos="2160"/>
        </w:tabs>
        <w:ind w:start="2160" w:hanging="360"/>
      </w:pPr>
    </w:lvl>
    <w:lvl w:ilvl="6">
      <w:start w:val="1"/>
      <w:numFmt w:val="decimal"/>
      <w:lvlText w:val="%7."/>
      <w:lvlJc w:val="start"/>
      <w:pPr>
        <w:tabs>
          <w:tab w:val="num" w:pos="2520"/>
        </w:tabs>
        <w:ind w:start="2520" w:hanging="360"/>
      </w:pPr>
    </w:lvl>
    <w:lvl w:ilvl="7">
      <w:start w:val="1"/>
      <w:numFmt w:val="lowerLetter"/>
      <w:lvlText w:val="%8."/>
      <w:lvlJc w:val="start"/>
      <w:pPr>
        <w:tabs>
          <w:tab w:val="num" w:pos="2880"/>
        </w:tabs>
        <w:ind w:start="2880" w:hanging="360"/>
      </w:pPr>
    </w:lvl>
    <w:lvl w:ilvl="8">
      <w:start w:val="1"/>
      <w:numFmt w:val="lowerRoman"/>
      <w:lvlText w:val="%9."/>
      <w:lvlJc w:val="start"/>
      <w:pPr>
        <w:tabs>
          <w:tab w:val="num" w:pos="3240"/>
        </w:tabs>
        <w:ind w:start="324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1999-12-30T17:35:00Z</dcterms:created>
  <dc:creator>mtaylo1</dc:creator>
  <dc:description/>
  <dc:language>en-CA</dc:language>
  <cp:lastModifiedBy>mtaylo1</cp:lastModifiedBy>
  <cp:lastPrinted>1999-12-30T14:05:00Z</cp:lastPrinted>
  <dcterms:modified xsi:type="dcterms:W3CDTF">1999-12-30T17:36:00Z</dcterms:modified>
  <cp:revision>3</cp:revision>
  <dc:subject/>
  <dc:title>Outline of Fallback Regulatory Framework</dc:title>
</cp:coreProperties>
</file>