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Proposal for a</w:t>
      </w:r>
    </w:p>
    <w:p>
      <w:pPr>
        <w:pStyle w:val="Normal"/>
        <w:jc w:val="center"/>
        <w:rPr>
          <w:rFonts w:ascii="Georgia" w:hAnsi="Georgia" w:cs="Georgia"/>
          <w:b/>
          <w:smallCaps/>
        </w:rPr>
      </w:pPr>
      <w:r>
        <w:rPr>
          <w:rFonts w:cs="Georgia" w:ascii="Georgia" w:hAnsi="Georgia"/>
          <w:b/>
          <w:smallCaps/>
        </w:rPr>
      </w:r>
    </w:p>
    <w:p>
      <w:pPr>
        <w:pStyle w:val="Normal"/>
        <w:jc w:val="center"/>
        <w:rPr>
          <w:rFonts w:ascii="Georgia" w:hAnsi="Georgia" w:cs="Georgia"/>
          <w:b/>
          <w:smallCaps/>
        </w:rPr>
      </w:pPr>
      <w:r>
        <w:rPr>
          <w:rFonts w:cs="Georgia" w:ascii="Georgia" w:hAnsi="Georgia"/>
          <w:b/>
          <w:smallCaps/>
        </w:rPr>
      </w:r>
    </w:p>
    <w:p>
      <w:pPr>
        <w:pStyle w:val="BodyText"/>
        <w:rPr>
          <w:rFonts w:ascii="Georgia" w:hAnsi="Georgia" w:cs="Georgia"/>
          <w:b/>
          <w:smallCaps/>
          <w:sz w:val="32"/>
        </w:rPr>
      </w:pPr>
      <w:r>
        <w:rPr>
          <w:rFonts w:cs="Georgia" w:ascii="Georgia" w:hAnsi="Georgia"/>
          <w:b/>
          <w:smallCaps/>
          <w:sz w:val="32"/>
        </w:rPr>
        <w:t xml:space="preserve">Regulation of the European Parliament and of the Council </w:t>
      </w:r>
    </w:p>
    <w:p>
      <w:pPr>
        <w:pStyle w:val="BodyText"/>
        <w:rPr>
          <w:rFonts w:ascii="Georgia" w:hAnsi="Georgia" w:cs="Georgia"/>
          <w:b/>
          <w:smallCaps/>
          <w:sz w:val="32"/>
        </w:rPr>
      </w:pPr>
      <w:r>
        <w:rPr>
          <w:rFonts w:cs="Georgia" w:ascii="Georgia" w:hAnsi="Georgia"/>
          <w:b/>
          <w:smallCaps/>
          <w:sz w:val="32"/>
        </w:rPr>
      </w:r>
    </w:p>
    <w:p>
      <w:pPr>
        <w:pStyle w:val="BodyText"/>
        <w:rPr>
          <w:rFonts w:ascii="Georgia" w:hAnsi="Georgia" w:cs="Georgia"/>
          <w:b/>
          <w:smallCaps/>
        </w:rPr>
      </w:pPr>
      <w:r>
        <w:rPr>
          <w:rFonts w:cs="Georgia" w:ascii="Georgia" w:hAnsi="Georgia"/>
          <w:b/>
          <w:smallCaps/>
        </w:rPr>
        <w:t>on Conditions of Access to the Network for Cross-border Exchanges in Electricity in the Internal Electricity Market</w:t>
      </w:r>
    </w:p>
    <w:p>
      <w:pPr>
        <w:pStyle w:val="Normal"/>
        <w:jc w:val="center"/>
        <w:rPr>
          <w:rFonts w:ascii="Georgia" w:hAnsi="Georgia" w:cs="Georgia"/>
          <w:b/>
          <w:smallCaps/>
        </w:rPr>
      </w:pPr>
      <w:r>
        <w:rPr>
          <w:rFonts w:cs="Georgia" w:ascii="Georgia" w:hAnsi="Georgia"/>
          <w:b/>
          <w:smallCaps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Summary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>
          <w:u w:val="single"/>
        </w:rPr>
      </w:pPr>
      <w:r>
        <w:rPr/>
        <w:t xml:space="preserve">Distance-related tariffs and a specific tariff to be paid only by exporters and importers are </w:t>
      </w:r>
      <w:r>
        <w:rPr>
          <w:b/>
          <w:u w:val="single"/>
        </w:rPr>
        <w:t>ruled</w:t>
      </w:r>
      <w:r>
        <w:rPr>
          <w:u w:val="single"/>
        </w:rPr>
        <w:t xml:space="preserve"> </w:t>
      </w:r>
      <w:r>
        <w:rPr>
          <w:b/>
          <w:u w:val="single"/>
        </w:rPr>
        <w:t>out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10"/>
        </w:numPr>
        <w:rPr/>
      </w:pPr>
      <w:r>
        <w:rPr/>
        <w:t xml:space="preserve">Any discrimination between transactions in the allocation of available capacities </w:t>
      </w:r>
      <w:r>
        <w:rPr>
          <w:b/>
          <w:u w:val="single"/>
        </w:rPr>
        <w:t>must be shown</w:t>
      </w:r>
      <w:r>
        <w:rPr/>
        <w:t xml:space="preserve"> not to unreasonably distort or hinder the development of trade;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>
          <w:b/>
          <w:u w:val="single"/>
        </w:rPr>
        <w:t>Transparency must be provided</w:t>
      </w:r>
      <w:r>
        <w:rPr/>
        <w:t xml:space="preserve"> to market actors concerning available transfer capacities and the security, planning and operational standards that effect the available transfer capacities.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>Any</w:t>
      </w:r>
      <w:r>
        <w:rPr>
          <w:b/>
          <w:u w:val="single"/>
        </w:rPr>
        <w:t xml:space="preserve"> </w:t>
      </w:r>
      <w:r>
        <w:rPr/>
        <w:t xml:space="preserve">revenues flowing from congestion management procedures </w:t>
      </w:r>
      <w:r>
        <w:rPr>
          <w:b/>
        </w:rPr>
        <w:t>shall not constitute extra profit</w:t>
      </w:r>
      <w:r>
        <w:rPr/>
        <w:t xml:space="preserve"> for TSOs;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 xml:space="preserve">Congestion management should be based on </w:t>
      </w:r>
      <w:r>
        <w:rPr>
          <w:b/>
          <w:u w:val="single"/>
        </w:rPr>
        <w:t>market mechanisms</w:t>
      </w:r>
      <w:r>
        <w:rPr/>
        <w:t xml:space="preserve"> and should provide </w:t>
      </w:r>
      <w:r>
        <w:rPr>
          <w:b/>
          <w:u w:val="single"/>
        </w:rPr>
        <w:t>correct economic signals</w:t>
      </w:r>
      <w:r>
        <w:rPr/>
        <w:t xml:space="preserve"> to TSOs;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 xml:space="preserve">Procedures should be in place that would make the </w:t>
      </w:r>
      <w:r>
        <w:rPr>
          <w:b/>
          <w:u w:val="single"/>
        </w:rPr>
        <w:t>decisions by the Commission</w:t>
      </w:r>
      <w:r>
        <w:rPr/>
        <w:t xml:space="preserve"> regarding tarification and capacity allocation </w:t>
      </w:r>
      <w:r>
        <w:rPr>
          <w:b/>
          <w:u w:val="single"/>
        </w:rPr>
        <w:t>directly applicable (</w:t>
      </w:r>
      <w:r>
        <w:rPr/>
        <w:t>Memer States’ regulatory authorities must be involved in the process);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Art. 4.  Charges for access to networks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>
          <w:b/>
          <w:u w:val="single"/>
        </w:rPr>
      </w:pPr>
      <w:r>
        <w:rPr/>
        <w:t xml:space="preserve">Charges for access to national networks applied by national grid operators shall be </w:t>
      </w:r>
      <w:r>
        <w:rPr>
          <w:b/>
          <w:u w:val="single"/>
        </w:rPr>
        <w:t xml:space="preserve">cost-reflective, transparent and applied in non-discriminatory manner. They shall not be distance- related </w:t>
      </w:r>
      <w:r>
        <w:rPr>
          <w:b/>
          <w:color w:val="FF0000"/>
          <w:u w:val="single"/>
        </w:rPr>
        <w:t>(!)</w:t>
      </w:r>
      <w:r>
        <w:rPr>
          <w:b/>
          <w:u w:val="single"/>
        </w:rPr>
        <w:t xml:space="preserve">.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10"/>
        </w:numPr>
        <w:rPr/>
      </w:pPr>
      <w:r>
        <w:rPr>
          <w:b/>
          <w:u w:val="single"/>
        </w:rPr>
        <w:t>Generators and consumers</w:t>
      </w:r>
      <w:r>
        <w:rPr/>
        <w:t xml:space="preserve"> may be charged a tariff for network access. It is anticipated that the total amount of the network charges borne by the generators should be lower than that borne by the consumers.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rPr/>
      </w:pPr>
      <w:r>
        <w:rPr/>
        <w:t xml:space="preserve">Where appropriate, the level of the tariffs shall provide </w:t>
      </w:r>
      <w:r>
        <w:rPr>
          <w:b/>
          <w:u w:val="single"/>
        </w:rPr>
        <w:t>locational signals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Art. 5 Information provision on interconnector capacities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Co-ordination and information exchange among TSOs must be implemented.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TSOs must publish estimates of available transfer capacity for each day, these should include week-ahead and month-ahead estimates. Any reserved capacity shall be individualised and included in the published available transfer capacity.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Art. 6 General principles on congestion management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Congestion problems must be addressed with market-based solutions. Transaction curtailment only in case of urgency and when redispatch is not possible.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Use-it-or lose-it principle (unutilised allocated capacity shall be reattributed to the market)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Transactions that relieve congestions (conterflows / backhauls) should never be denied.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Heading2"/>
        <w:ind w:hanging="0" w:start="0"/>
        <w:rPr/>
      </w:pPr>
      <w:r>
        <w:rPr/>
        <w:t>Article 7. Guidelines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>
          <w:b/>
          <w:u w:val="single"/>
        </w:rPr>
        <w:t>The Commission shall adopt and amend guidelines</w:t>
      </w:r>
      <w:r>
        <w:rPr/>
        <w:t xml:space="preserve"> on methodologies on the calculation of the cost of horizontal network, on the inter-TSO compensation fund payments and allocation, harmonisation of national tariffs to be applied to generators and consumers.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  <w:t>Article 10. Management / regulatory committee.</w:t>
      </w:r>
    </w:p>
    <w:p>
      <w:pPr>
        <w:pStyle w:val="Normal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</w:r>
    </w:p>
    <w:p>
      <w:pPr>
        <w:pStyle w:val="Normal"/>
        <w:numPr>
          <w:ilvl w:val="0"/>
          <w:numId w:val="8"/>
        </w:numPr>
        <w:rPr/>
      </w:pPr>
      <w:r>
        <w:rPr/>
        <w:t xml:space="preserve">The Commission shall be assisted by a </w:t>
      </w:r>
      <w:r>
        <w:rPr>
          <w:b/>
          <w:u w:val="single"/>
        </w:rPr>
        <w:t>committee</w:t>
      </w:r>
      <w:r>
        <w:rPr/>
        <w:t xml:space="preserve"> composed of the representatives of the Member States (in particular, their national regulatory authorities) and chaired by the representative of the Commission.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The committee will vote on the Commission’s draft proposals by majority voting.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584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eorgia" w:hAnsi="Georgia" w:cs="Georgia"/>
      <w:b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2001-02-20T10:09:00Z</dcterms:created>
  <dc:creator>ndindaro</dc:creator>
  <dc:description/>
  <dc:language>en-CA</dc:language>
  <cp:lastModifiedBy>ndindaro</cp:lastModifiedBy>
  <dcterms:modified xsi:type="dcterms:W3CDTF">2001-02-26T06:19:00Z</dcterms:modified>
  <cp:revision>3</cp:revision>
  <dc:subject/>
  <dc:title>Proposal for a</dc:title>
</cp:coreProperties>
</file>