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80"/>
        <w:jc w:val="center"/>
        <w:rPr>
          <w:b/>
          <w:bCs/>
          <w:u w:val="single"/>
        </w:rPr>
      </w:pPr>
      <w:r>
        <w:rPr>
          <w:b/>
          <w:bCs/>
          <w:u w:val="single"/>
        </w:rPr>
        <w:t>MEMORANDUM OF POINTS AND AUTHORITIES</w:t>
      </w:r>
    </w:p>
    <w:p>
      <w:pPr>
        <w:pStyle w:val="Heading1"/>
        <w:tabs>
          <w:tab w:val="clear" w:pos="720"/>
          <w:tab w:val="left" w:pos="0" w:leader="none"/>
        </w:tabs>
        <w:ind w:hanging="0" w:start="0"/>
        <w:rPr/>
      </w:pPr>
      <w:r>
        <w:rPr/>
        <w:br/>
        <w:t>WRIT RELIEF IS ESSENTIAL TO RESOLVE AN</w:t>
        <w:br/>
        <w:t>ISSUE OF URGENT STATEWIDE IMPORTANCE</w:t>
      </w:r>
    </w:p>
    <w:p>
      <w:pPr>
        <w:pStyle w:val="Body"/>
        <w:rPr/>
      </w:pPr>
      <w:r>
        <w:rPr/>
        <w:t>The issue presented by the Petition is whether the California Public Utilities Commission (the “Commission”) had the authority to enact, and whether the Commission lawfully enacted, an Order which retroactively suspended existing direct access contracts and retroactively modified the terms of other existing direct access contracts.</w:t>
      </w:r>
    </w:p>
    <w:p>
      <w:pPr>
        <w:pStyle w:val="Body"/>
        <w:rPr/>
      </w:pPr>
      <w:r>
        <w:rPr/>
        <w:t>In 1996, the Legislature enacted Section ____ of the Public Utilities Code authorizing California’s to purchase energy directly from energy service providers other than the utilities regulated by the Commission.  In response, a large number of energy service providers entered the California market.  These providers ranged from energy generating companies located outside of California to California companies providing energy derived from alternative sources such as wind and solar power.  As of July 31, 2001, there were more than 70,000 direct access contracts providing approximately 3.1% of the energy used in California.</w:t>
      </w:r>
      <w:r>
        <w:rPr>
          <w:rStyle w:val="FootnoteCharacters"/>
          <w:rStyle w:val="FootnoteReference"/>
        </w:rPr>
        <w:footnoteReference w:id="2"/>
      </w:r>
    </w:p>
    <w:p>
      <w:pPr>
        <w:pStyle w:val="Body"/>
        <w:rPr/>
      </w:pPr>
      <w:r>
        <w:rPr/>
        <w:t>On February 1, 2001, as a consequence of the energy problems being experienced in California, the Legislature enacted on an urgency basis and Governor signed AB 1X, comprehensive legislation concerned with acquisition and financing of energy by the State for the regulated utilities.  One section of the Legislation, codified in Section 80110 of the Water Code, concerned the direct access program.  In pertinent part, this section provides:</w:t>
      </w:r>
    </w:p>
    <w:p>
      <w:pPr>
        <w:pStyle w:val="Body"/>
        <w:ind w:hanging="0" w:start="1800" w:end="1440"/>
        <w:rPr/>
      </w:pPr>
      <w:r>
        <w:rPr/>
        <w:t>“</w:t>
      </w:r>
      <w:r>
        <w:rPr/>
        <w:t xml:space="preserve">After the passage of such period of time after the effective date of this section </w:t>
      </w:r>
      <w:r>
        <w:rPr>
          <w:b/>
          <w:bCs/>
        </w:rPr>
        <w:t>as shall be determined by the commission,</w:t>
      </w:r>
      <w:r>
        <w:rPr/>
        <w:t xml:space="preserve"> the right of retail end use customers . . . to acquire service from other providers shall be suspended.”  [Emphasis added.]</w:t>
      </w:r>
    </w:p>
    <w:p>
      <w:pPr>
        <w:pStyle w:val="Body"/>
        <w:rPr/>
      </w:pPr>
      <w:r>
        <w:rPr/>
        <w:t>The Legislature has authorized the Commission to suspend the right of retail end use customers to acquire energy using direct access contracts.  Significantly, however, the Legislature did not impose a date by which the Commission was to act.  Rather, the Legislature left the determination of the effective date to the Commission.  The Legislature naturally assumed the Commission would use its long established hearing process to determine when, if ever, it would be necessary to discontinue direct access.</w:t>
      </w:r>
    </w:p>
    <w:p>
      <w:pPr>
        <w:pStyle w:val="Body"/>
        <w:rPr/>
      </w:pPr>
      <w:r>
        <w:rPr/>
        <w:t>In response to AB 1X, the Commission considered two basic proposals concerned with direct access.  The proposal ultimately enacted requires that all direct access contracts entered into from and after July 1, 2001, be suspended.  It further requires that all other direct access contracts be modified so that they terminate at the end of their first anniversary.  (Exhibit D at ____.)</w:t>
      </w:r>
    </w:p>
    <w:p>
      <w:pPr>
        <w:pStyle w:val="Body"/>
        <w:rPr/>
      </w:pPr>
      <w:r>
        <w:rPr/>
        <w:t xml:space="preserve">The Commission did not conduct evidentiary hearings although such hearings were requested by Commissioner Bilas (Exhibit B at ____) and by all those who supported his alternate proposal, including Petitioner.  Moreover, the Commission did not address whether its Order was consistent with the Constitutional prohibition precluding laws which retroactively affect existing contracts, did not consider whether its action violated the Constitutional prohibition barring the taking of property without compensation, and failed to comport with the basic due process requirement of a hearing.  </w:t>
      </w:r>
    </w:p>
    <w:p>
      <w:pPr>
        <w:pStyle w:val="Body"/>
        <w:rPr/>
      </w:pPr>
      <w:r>
        <w:rPr/>
        <w:t xml:space="preserve">The Commission has no basis or justification for its abuses of these basic constitutional protections.  The Legislature empowered the Commission with authority to determine when to implement the suspension of direct access contracts.  The Legislature did not specify that the Commission had to act by a specific date.  Rather, the Legislature required the Commission to make the determination of the appropriate date.  The Commission made its determination, but without providing those affected the basic due process rights of a hearing and in contravention of existing and vested property and contractual rights.  </w:t>
      </w:r>
    </w:p>
    <w:p>
      <w:pPr>
        <w:pStyle w:val="Normal"/>
        <w:spacing w:lineRule="exact" w:line="480"/>
        <w:ind w:firstLine="720" w:end="0"/>
        <w:rPr/>
      </w:pPr>
      <w:r>
        <w:rPr/>
      </w:r>
    </w:p>
    <w:p>
      <w:pPr>
        <w:pStyle w:val="Heading1"/>
        <w:tabs>
          <w:tab w:val="clear" w:pos="720"/>
          <w:tab w:val="left" w:pos="0" w:leader="none"/>
        </w:tabs>
        <w:ind w:hanging="0" w:start="0"/>
        <w:rPr/>
      </w:pPr>
      <w:r>
        <w:rPr/>
        <w:br/>
        <w:t>THE ISSUES PRESENTED</w:t>
      </w:r>
    </w:p>
    <w:p>
      <w:pPr>
        <w:pStyle w:val="Body"/>
        <w:rPr/>
      </w:pPr>
      <w:r>
        <w:rPr/>
        <w:t>The issues presented by the Commission’s conduct and this Petition originate from Section 1757.1(a) of the Public Utilities Code:</w:t>
      </w:r>
    </w:p>
    <w:p>
      <w:pPr>
        <w:pStyle w:val="Body"/>
        <w:numPr>
          <w:ilvl w:val="0"/>
          <w:numId w:val="2"/>
        </w:numPr>
        <w:tabs>
          <w:tab w:val="clear" w:pos="720"/>
          <w:tab w:val="left" w:pos="0" w:leader="none"/>
        </w:tabs>
        <w:spacing w:before="0" w:after="120"/>
        <w:ind w:hanging="720" w:start="1440" w:end="0"/>
        <w:rPr/>
      </w:pPr>
      <w:r>
        <w:rPr/>
        <w:t>Was the Order of the Commission an abuse of discretion?</w:t>
      </w:r>
    </w:p>
    <w:p>
      <w:pPr>
        <w:pStyle w:val="Body"/>
        <w:numPr>
          <w:ilvl w:val="0"/>
          <w:numId w:val="2"/>
        </w:numPr>
        <w:tabs>
          <w:tab w:val="clear" w:pos="720"/>
          <w:tab w:val="left" w:pos="0" w:leader="none"/>
        </w:tabs>
        <w:spacing w:before="0" w:after="120"/>
        <w:ind w:hanging="720" w:start="1440" w:end="0"/>
        <w:rPr/>
      </w:pPr>
      <w:r>
        <w:rPr/>
        <w:t>Did the Commission proceed in the manner required by law?</w:t>
      </w:r>
    </w:p>
    <w:p>
      <w:pPr>
        <w:pStyle w:val="Body"/>
        <w:numPr>
          <w:ilvl w:val="0"/>
          <w:numId w:val="2"/>
        </w:numPr>
        <w:tabs>
          <w:tab w:val="clear" w:pos="720"/>
          <w:tab w:val="left" w:pos="0" w:leader="none"/>
        </w:tabs>
        <w:spacing w:before="0" w:after="120"/>
        <w:ind w:hanging="720" w:start="1440" w:end="0"/>
        <w:rPr/>
      </w:pPr>
      <w:r>
        <w:rPr/>
        <w:t>Did the Commission act without or in excess of its powers or jurisdiction?</w:t>
      </w:r>
    </w:p>
    <w:p>
      <w:pPr>
        <w:pStyle w:val="Body"/>
        <w:numPr>
          <w:ilvl w:val="0"/>
          <w:numId w:val="2"/>
        </w:numPr>
        <w:tabs>
          <w:tab w:val="clear" w:pos="720"/>
          <w:tab w:val="left" w:pos="0" w:leader="none"/>
        </w:tabs>
        <w:spacing w:before="0" w:after="120"/>
        <w:ind w:hanging="720" w:start="1440" w:end="0"/>
        <w:rPr/>
      </w:pPr>
      <w:r>
        <w:rPr/>
        <w:t>Is the decision of the Commission supported by the findings?</w:t>
      </w:r>
    </w:p>
    <w:p>
      <w:pPr>
        <w:pStyle w:val="Body"/>
        <w:numPr>
          <w:ilvl w:val="0"/>
          <w:numId w:val="2"/>
        </w:numPr>
        <w:tabs>
          <w:tab w:val="clear" w:pos="720"/>
          <w:tab w:val="left" w:pos="0" w:leader="none"/>
        </w:tabs>
        <w:spacing w:before="0" w:after="120"/>
        <w:ind w:hanging="360" w:start="1440" w:end="0"/>
        <w:rPr/>
      </w:pPr>
      <w:r>
        <w:rPr/>
        <w:t>Does the Order of the Commission violate any right of the Petitioner under the Constitution of the United States or the California Constitution?</w:t>
      </w:r>
    </w:p>
    <w:p>
      <w:pPr>
        <w:pStyle w:val="Body"/>
        <w:rPr/>
      </w:pPr>
      <w:r>
        <w:rPr/>
        <w:t>As discussed in detail hereafter, the Commission’s conduct and its Order are in violation of and inconsistent with each of the legal duties which originate in Section 1751(a).</w:t>
      </w:r>
    </w:p>
    <w:p>
      <w:pPr>
        <w:pStyle w:val="Body"/>
        <w:rPr/>
      </w:pPr>
      <w:r>
        <w:rPr/>
      </w:r>
    </w:p>
    <w:p>
      <w:pPr>
        <w:pStyle w:val="Heading1"/>
        <w:tabs>
          <w:tab w:val="clear" w:pos="720"/>
          <w:tab w:val="left" w:pos="0" w:leader="none"/>
        </w:tabs>
        <w:ind w:hanging="0" w:start="0"/>
        <w:rPr/>
      </w:pPr>
      <w:r>
        <w:rPr/>
        <w:br/>
        <w:t>THIS PETITION IS THE ONLY AVAILABLE REMEDY</w:t>
      </w:r>
    </w:p>
    <w:p>
      <w:pPr>
        <w:pStyle w:val="Body"/>
        <w:rPr/>
      </w:pPr>
      <w:r>
        <w:rPr/>
        <w:t>Unlike most proceedings, Petitioner does not have a right to appeal and does not have the right to seek redress in a lower court. The urgency legislation adopted on February 1, 2001, expressly conferred in the California Supreme Court exclusive and original jurisdiction for any review of an action by the Commission pursuant to AB 1X.  Pub. Util. Code § 1768(a).</w:t>
      </w:r>
    </w:p>
    <w:p>
      <w:pPr>
        <w:pStyle w:val="Body"/>
        <w:rPr/>
      </w:pPr>
      <w:r>
        <w:rPr/>
        <w:t>This Petition is timely and properly before this Court even though there has been no application requesting the Commission to rehear the matter.  Section 1768(a) of the Public Utilities Code provides that a petition must be filed no later than thirty (30) days after the Commission has denied an application for rehearing.  Section 1768(a) does not require, however, that an aggrieved party seek rehearing before it is entitled to seek a Writ of Review from this Court.</w:t>
      </w:r>
    </w:p>
    <w:p>
      <w:pPr>
        <w:pStyle w:val="Body"/>
        <w:rPr/>
      </w:pPr>
      <w:r>
        <w:rPr/>
        <w:t>Even if Section 1768(a) was interpreted to require an application for rehearing, such a condition would be of no force and effect when: (i) such an application would be futile (</w:t>
      </w:r>
      <w:r>
        <w:rPr>
          <w:i/>
          <w:iCs/>
        </w:rPr>
        <w:t>Ogo Associates v. City of Torrance</w:t>
      </w:r>
      <w:r>
        <w:rPr/>
        <w:t xml:space="preserve"> (1974) 37 Cal.App.3d 830, 834); (ii) a rehearing would provide an inadequate or unavailable remedy (</w:t>
      </w:r>
      <w:r>
        <w:rPr>
          <w:i/>
          <w:iCs/>
        </w:rPr>
        <w:t>Endangered Habitats League, Inc. v. State Water Resources Control Board</w:t>
      </w:r>
      <w:r>
        <w:rPr/>
        <w:t xml:space="preserve"> (1998) 63 Cal.App.4</w:t>
      </w:r>
      <w:r>
        <w:rPr>
          <w:vertAlign w:val="superscript"/>
        </w:rPr>
        <w:t>th</w:t>
      </w:r>
      <w:r>
        <w:rPr/>
        <w:t xml:space="preserve"> 227, 237-38); or (iii) a rehearing would raise for a second time the same evidence and the same legal arguments previously presented (</w:t>
      </w:r>
      <w:r>
        <w:rPr>
          <w:i/>
          <w:iCs/>
        </w:rPr>
        <w:t>Sierra Club v. San Joaquin LAFCO</w:t>
      </w:r>
      <w:r>
        <w:rPr/>
        <w:t xml:space="preserve"> (1999) 21 Cal.4</w:t>
      </w:r>
      <w:r>
        <w:rPr>
          <w:vertAlign w:val="superscript"/>
        </w:rPr>
        <w:t>th</w:t>
      </w:r>
      <w:r>
        <w:rPr/>
        <w:t xml:space="preserve"> 489, 510).</w:t>
      </w:r>
    </w:p>
    <w:p>
      <w:pPr>
        <w:pStyle w:val="Body"/>
        <w:rPr/>
      </w:pPr>
      <w:r>
        <w:rPr/>
        <w:t xml:space="preserve">In this case, a rehearing is superfluous and unnecessary.  First, there are no new legal arguments and no additional evidence to be presented.  Thus, a rehearing is unnecessary.  </w:t>
      </w:r>
      <w:r>
        <w:rPr>
          <w:i/>
          <w:iCs/>
        </w:rPr>
        <w:t>Id.</w:t>
      </w:r>
      <w:r>
        <w:rPr/>
        <w:t xml:space="preserve">  Second, a rehearing would be futile because the outcome is certain since there would be no new evidence or legal theories.  </w:t>
      </w:r>
      <w:r>
        <w:rPr>
          <w:i/>
          <w:iCs/>
        </w:rPr>
        <w:t>Id.</w:t>
      </w:r>
      <w:r>
        <w:rPr/>
        <w:t xml:space="preserve">; </w:t>
      </w:r>
      <w:r>
        <w:rPr>
          <w:i/>
          <w:iCs/>
        </w:rPr>
        <w:t>Ogo Associates v. City of Torrance</w:t>
      </w:r>
      <w:r>
        <w:rPr/>
        <w:t xml:space="preserve">, </w:t>
      </w:r>
      <w:r>
        <w:rPr>
          <w:i/>
          <w:iCs/>
        </w:rPr>
        <w:t>supra</w:t>
      </w:r>
      <w:r>
        <w:rPr/>
        <w:t xml:space="preserve"> at 834.  Finally, a rehearing would not provide an adequate remedy because the Order invalidating Petitioner’s direct access contracts would remain in force pending the outcome of such a rehearing which would result in irreparable harm to Petitioner.</w:t>
      </w:r>
    </w:p>
    <w:p>
      <w:pPr>
        <w:pStyle w:val="Body"/>
        <w:rPr/>
      </w:pPr>
      <w:r>
        <w:rPr/>
        <w:t>Accordingly, Petitioner is excused from seeking a rehearing before the Commission.</w:t>
      </w:r>
    </w:p>
    <w:p>
      <w:pPr>
        <w:pStyle w:val="Body"/>
        <w:rPr/>
      </w:pPr>
      <w:r>
        <w:rPr/>
      </w:r>
    </w:p>
    <w:p>
      <w:pPr>
        <w:pStyle w:val="Heading1"/>
        <w:tabs>
          <w:tab w:val="clear" w:pos="720"/>
          <w:tab w:val="left" w:pos="0" w:leader="none"/>
        </w:tabs>
        <w:ind w:hanging="0" w:start="0"/>
        <w:rPr/>
      </w:pPr>
      <w:r>
        <w:rPr/>
        <w:br/>
        <w:t>STANDARD OF REVIEW</w:t>
      </w:r>
    </w:p>
    <w:p>
      <w:pPr>
        <w:pStyle w:val="Body"/>
        <w:rPr/>
      </w:pPr>
      <w:r>
        <w:rPr/>
        <w:t>The Legislature has specifically codified the applicable standard of review.  In pertinent part, Section 1760 of the Public Utilities Code provides:</w:t>
      </w:r>
    </w:p>
    <w:p>
      <w:pPr>
        <w:pStyle w:val="Body"/>
        <w:ind w:hanging="0" w:start="1800" w:end="1440"/>
        <w:rPr/>
      </w:pPr>
      <w:r>
        <w:rPr/>
        <w:t>“</w:t>
      </w:r>
      <w:r>
        <w:rPr/>
        <w:t xml:space="preserve">[I]n any proceeding wherein the validity of any order or decision is challenged on the ground that it violates any right of petitioner under the United States Constitution or the California Constitution, the Supreme Court . . .shall exercise </w:t>
      </w:r>
      <w:r>
        <w:rPr>
          <w:b/>
          <w:bCs/>
        </w:rPr>
        <w:t>independent judgment on the law and the facts,</w:t>
      </w:r>
      <w:r>
        <w:rPr/>
        <w:t xml:space="preserve"> and the findings or conclusions of the commission material to the determination of the constitutional question shall not be final.”  [Emphasis added.]</w:t>
      </w:r>
    </w:p>
    <w:p>
      <w:pPr>
        <w:pStyle w:val="Body"/>
        <w:rPr/>
      </w:pPr>
      <w:r>
        <w:rPr/>
        <w:t xml:space="preserve">The Supreme Court, therefore, is required to review the record </w:t>
      </w:r>
      <w:r>
        <w:rPr>
          <w:i/>
          <w:iCs/>
        </w:rPr>
        <w:t>de novo</w:t>
      </w:r>
      <w:r>
        <w:rPr/>
        <w:t xml:space="preserve"> and reach its own conclusions about the facts and the appropriate action.</w:t>
      </w:r>
    </w:p>
    <w:p>
      <w:pPr>
        <w:pStyle w:val="Body"/>
        <w:rPr/>
      </w:pPr>
      <w:r>
        <w:rPr/>
      </w:r>
    </w:p>
    <w:p>
      <w:pPr>
        <w:pStyle w:val="Heading1"/>
        <w:tabs>
          <w:tab w:val="clear" w:pos="720"/>
          <w:tab w:val="left" w:pos="0" w:leader="none"/>
        </w:tabs>
        <w:ind w:hanging="0" w:start="0"/>
        <w:rPr/>
      </w:pPr>
      <w:r>
        <w:rPr/>
        <w:br/>
        <w:t>ARGUMENT</w:t>
      </w:r>
    </w:p>
    <w:p>
      <w:pPr>
        <w:pStyle w:val="Heading2"/>
        <w:tabs>
          <w:tab w:val="clear" w:pos="720"/>
          <w:tab w:val="left" w:pos="0" w:leader="none"/>
        </w:tabs>
        <w:ind w:hanging="1440" w:start="720" w:end="0"/>
        <w:rPr/>
      </w:pPr>
      <w:r>
        <w:rPr>
          <w:u w:val="single"/>
        </w:rPr>
        <w:t>The Commission Violated The Contract Clauses On The United States And The California Constitutions</w:t>
      </w:r>
      <w:r>
        <w:rPr/>
        <w:t>.</w:t>
      </w:r>
    </w:p>
    <w:p>
      <w:pPr>
        <w:pStyle w:val="Body"/>
        <w:rPr/>
      </w:pPr>
      <w:r>
        <w:rPr/>
        <w:t>Both the California and the United States Constitutions contain provisions which bar the government from enacting provisions with a retroactive affect on existing contract rights.  In pertinent part, Article I, Section 10 of the United States Constitution provides:</w:t>
      </w:r>
    </w:p>
    <w:p>
      <w:pPr>
        <w:pStyle w:val="Body"/>
        <w:ind w:hanging="0" w:start="1800" w:end="1440"/>
        <w:rPr/>
      </w:pPr>
      <w:r>
        <w:rPr/>
        <w:t>“</w:t>
      </w:r>
      <w:r>
        <w:rPr/>
        <w:t>No State . . . shall . . . pass any . . . Law impairing the Obligation of Contracts . . ..”</w:t>
      </w:r>
    </w:p>
    <w:p>
      <w:pPr>
        <w:pStyle w:val="Body"/>
        <w:rPr/>
      </w:pPr>
      <w:r>
        <w:rPr/>
        <w:t>The California Constitution similarly provides in Article 1, Section 9:</w:t>
      </w:r>
    </w:p>
    <w:p>
      <w:pPr>
        <w:pStyle w:val="Body"/>
        <w:ind w:hanging="0" w:start="1800" w:end="1440"/>
        <w:rPr/>
      </w:pPr>
      <w:r>
        <w:rPr/>
        <w:t>“</w:t>
      </w:r>
      <w:r>
        <w:rPr/>
        <w:t>A . . . law impairing the obligation of contracts may not be passed.”</w:t>
      </w:r>
    </w:p>
    <w:p>
      <w:pPr>
        <w:pStyle w:val="Body"/>
        <w:rPr/>
      </w:pPr>
      <w:r>
        <w:rPr/>
        <w:t xml:space="preserve">The cases interpreting each constitutional mandate have substantially the same requirements.  As set forth in </w:t>
      </w:r>
      <w:r>
        <w:rPr>
          <w:i/>
          <w:iCs/>
        </w:rPr>
        <w:t>General Motors Corporation v. Romein</w:t>
      </w:r>
      <w:r>
        <w:rPr/>
        <w:t>, 503 U.S. 181 (1992), at page 186:</w:t>
      </w:r>
    </w:p>
    <w:p>
      <w:pPr>
        <w:pStyle w:val="Body"/>
        <w:ind w:hanging="0" w:start="1800" w:end="1440"/>
        <w:rPr/>
      </w:pPr>
      <w:r>
        <w:rPr/>
        <w:t>“</w:t>
      </w:r>
      <w:r>
        <w:rPr/>
        <w:t>This inquiry has three components: whether there is a contractual relationship, whether a change in law impairs that contractual relationship, and whether the impairment is substantial.”</w:t>
      </w:r>
    </w:p>
    <w:p>
      <w:pPr>
        <w:pStyle w:val="Body"/>
        <w:rPr/>
      </w:pPr>
      <w:r>
        <w:rPr/>
        <w:t xml:space="preserve">In order to establish a violation of this constitutional prohibition, it is necessary to demonstrate that “a change in state law has ‘operated as a substantial impairment of a contractual relationship.’”  </w:t>
      </w:r>
      <w:r>
        <w:rPr>
          <w:i/>
          <w:iCs/>
        </w:rPr>
        <w:t>Id.</w:t>
      </w:r>
      <w:r>
        <w:rPr/>
        <w:t xml:space="preserve">, quoting </w:t>
      </w:r>
      <w:r>
        <w:rPr>
          <w:i/>
          <w:iCs/>
        </w:rPr>
        <w:t>Allied Structural Steel Co. v. Spannous</w:t>
      </w:r>
      <w:r>
        <w:rPr/>
        <w:t>, 438 U.S. 234, 244 (1978).</w:t>
      </w:r>
    </w:p>
    <w:p>
      <w:pPr>
        <w:pStyle w:val="Body"/>
        <w:rPr/>
      </w:pPr>
      <w:r>
        <w:rPr/>
        <w:t>The first question in the analysis is whether there is a contractual relationship.  The Commission concedes the contractual relationship between retail customers and energy service providers such as Petitioner.  Indeed, the entire object of the Commission was to interfere with those contracts so consumers would be compelled to obtain energy from the regulated utilities at higher prices.  This issue is undisputed and resolves in favor of the Petitioner.</w:t>
      </w:r>
    </w:p>
    <w:p>
      <w:pPr>
        <w:pStyle w:val="Body"/>
        <w:rPr/>
      </w:pPr>
      <w:r>
        <w:rPr/>
        <w:t>The next step in the analysis requires a determination whether a change in law impaired the contractual relationship.  Again, there is no dispute; the Commission’s Order impaired the contractual relationship by ordering certain of the existing contracts suspended and changing a material term in the other contracts.</w:t>
      </w:r>
    </w:p>
    <w:p>
      <w:pPr>
        <w:pStyle w:val="Body"/>
        <w:rPr/>
      </w:pPr>
      <w:r>
        <w:rPr/>
        <w:t>The next step in the analysis is whether there has been a “substantial impairment.”  Here, the contracts have either been suspended for an indefinite period or they have been modified to terminate early.  Such impairments necessarily are substantial.</w:t>
      </w:r>
    </w:p>
    <w:p>
      <w:pPr>
        <w:pStyle w:val="Body"/>
        <w:rPr/>
      </w:pPr>
      <w:r>
        <w:rPr/>
        <w:t>Even when an impairment is substantial, there is no constitutional infringement if the State had a “significant and legitimate public purpose.”  Here, the Commission argues that Californians must be forced to pay higher energy costs so the State can sale revenue bonds.  This argument, however, is not supported by the record.  The Commission refused to allow hearings and, a result, there is no evidence which demonstrates that the revenue lost to direct access contracts would impair the revenue flow needed to service the debt of the anticipated bonds.  Further, as shown in the August 30 Alternate Draft Decision, assuming revenue is needed, alternatives are available so customers who elect to have direct access would still be able to pay their share.  The Commission’s justification that the regulated utilities must be the only source of power and that revenues must be maximized is believed by the State sponsored conversation program which has caused a far greater revenue decline than direct access.  The Commission’s claim of legitimate public purpose is undercut by the conservation program.  Conservation and direct access have the same impact on California by reducing the demand for State funded power.  The Commission’s claimed public purpose is a fiction inconsistent with other Commission programs.</w:t>
      </w:r>
    </w:p>
    <w:p>
      <w:pPr>
        <w:pStyle w:val="Body"/>
        <w:rPr/>
      </w:pPr>
      <w:r>
        <w:rPr/>
        <w:t xml:space="preserve">Even if the State has a significant and legitimate public purpose, it nevertheless is acting in violation of the Constitution unless it can show that the impairment of contracts “is based upon reasonable conditions and is of a character appropriate to the public purpose justifying the legislation’s adoption.”  </w:t>
      </w:r>
      <w:r>
        <w:rPr>
          <w:i/>
          <w:iCs/>
        </w:rPr>
        <w:t>Energy Reserves Group, Inc. v. Kansas Power &amp; Light Co.</w:t>
      </w:r>
      <w:r>
        <w:rPr/>
        <w:t>, 459 U.S. 400, 411-12 (1983).  This test is not supported in the Commission’s record because it refused to allow hearings.  The announced public purpose is to generate revenue sufficient to pay the anticipated debt for acquiring power.  The record before the Commission demonstrates that the ability to pay that obligation will not be affected by existing direct access contracts.  They are such a small part of the energy market (3.1%) and are outweighed by other State mandated programs—such as conservation and private investment by retail users in their own generating facilities.  Moreover, direct access users do not require the State to acquire power and they in fact benefit the State by reducing the need to incur debt to finance power purchases.</w:t>
      </w:r>
    </w:p>
    <w:p>
      <w:pPr>
        <w:pStyle w:val="Body"/>
        <w:rPr/>
      </w:pPr>
      <w:r>
        <w:rPr/>
        <w:t>The State’s motive is not the announced purpose; its purpose instead malevolent as illustrated by the rhetoric directed to out-of-state energy companies.  Such a motive does not justify the interference with existing contracts.</w:t>
      </w:r>
    </w:p>
    <w:p>
      <w:pPr>
        <w:pStyle w:val="Body"/>
        <w:rPr/>
      </w:pPr>
      <w:r>
        <w:rPr/>
        <w:t>The Order is unconstitutional and must not be allowed to stand.</w:t>
      </w:r>
    </w:p>
    <w:p>
      <w:pPr>
        <w:pStyle w:val="Body"/>
        <w:rPr/>
      </w:pPr>
      <w:r>
        <w:rPr/>
      </w:r>
    </w:p>
    <w:p>
      <w:pPr>
        <w:pStyle w:val="Heading2"/>
        <w:tabs>
          <w:tab w:val="clear" w:pos="720"/>
          <w:tab w:val="left" w:pos="0" w:leader="none"/>
        </w:tabs>
        <w:ind w:hanging="720" w:start="0"/>
        <w:rPr>
          <w:b w:val="false"/>
          <w:bCs w:val="false"/>
        </w:rPr>
      </w:pPr>
      <w:r>
        <w:rPr>
          <w:u w:val="single"/>
        </w:rPr>
        <w:t>The Commission’s Order Is an Unconstitutional Taking</w:t>
      </w:r>
    </w:p>
    <w:p>
      <w:pPr>
        <w:pStyle w:val="Body"/>
        <w:rPr>
          <w:b/>
          <w:bCs/>
        </w:rPr>
      </w:pPr>
      <w:r>
        <w:rPr>
          <w:b/>
          <w:bCs/>
        </w:rPr>
      </w:r>
    </w:p>
    <w:p>
      <w:pPr>
        <w:pStyle w:val="Body"/>
        <w:rPr/>
      </w:pPr>
      <w:r>
        <w:rPr/>
      </w:r>
    </w:p>
    <w:p>
      <w:pPr>
        <w:pStyle w:val="Body"/>
        <w:rPr/>
      </w:pPr>
      <w:r>
        <w:rPr/>
      </w:r>
    </w:p>
    <w:p>
      <w:pPr>
        <w:pStyle w:val="Body"/>
        <w:rPr/>
      </w:pPr>
      <w:r>
        <w:rPr/>
      </w:r>
    </w:p>
    <w:p>
      <w:pPr>
        <w:pStyle w:val="Heading2"/>
        <w:tabs>
          <w:tab w:val="clear" w:pos="720"/>
          <w:tab w:val="left" w:pos="0" w:leader="none"/>
        </w:tabs>
        <w:ind w:hanging="720" w:start="0"/>
        <w:rPr>
          <w:b w:val="false"/>
          <w:bCs w:val="false"/>
        </w:rPr>
      </w:pPr>
      <w:r>
        <w:rPr>
          <w:u w:val="single"/>
        </w:rPr>
        <w:t>The Commission Violated Petitioner’s Due Process Rights</w:t>
      </w:r>
    </w:p>
    <w:p>
      <w:pPr>
        <w:pStyle w:val="Body"/>
        <w:rPr>
          <w:b/>
          <w:bCs/>
        </w:rPr>
      </w:pPr>
      <w:r>
        <w:rPr>
          <w:b/>
          <w:bCs/>
        </w:rPr>
      </w:r>
    </w:p>
    <w:p>
      <w:pPr>
        <w:pStyle w:val="Body"/>
        <w:rPr/>
      </w:pPr>
      <w:r>
        <w:rPr/>
      </w:r>
    </w:p>
    <w:p>
      <w:pPr>
        <w:pStyle w:val="Heading1"/>
        <w:tabs>
          <w:tab w:val="clear" w:pos="720"/>
          <w:tab w:val="left" w:pos="0" w:leader="none"/>
        </w:tabs>
        <w:ind w:hanging="0" w:start="0"/>
        <w:rPr/>
      </w:pPr>
      <w:r>
        <w:rPr/>
        <w:br/>
        <w:t>CONCLUSION</w:t>
      </w:r>
    </w:p>
    <w:sectPr>
      <w:footerReference w:type="default" r:id="rId2"/>
      <w:footerReference w:type="first" r:id="rId3"/>
      <w:footnotePr>
        <w:numFmt w:val="decimal"/>
      </w:footnotePr>
      <w:type w:val="nextPage"/>
      <w:pgSz w:w="12240" w:h="15840"/>
      <w:pgMar w:left="1800" w:right="1440" w:gutter="0" w:header="0" w:top="1440" w:footer="432"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rPr/>
          </w:pPr>
          <w:r>
            <w:rPr/>
            <w:fldChar w:fldCharType="begin"/>
          </w:r>
          <w:r>
            <w:rPr/>
            <w:instrText xml:space="preserve"> DOCPROPERTY "DocNumber"</w:instrText>
          </w:r>
          <w:r>
            <w:rPr/>
            <w:fldChar w:fldCharType="separate"/>
          </w:r>
          <w:r>
            <w:rPr/>
            <w:t>65009</w:t>
          </w:r>
          <w:r>
            <w:rPr/>
            <w:fldChar w:fldCharType="end"/>
          </w:r>
          <w:r>
            <w:rPr/>
            <w:t>.</w:t>
          </w:r>
          <w:r>
            <w:rPr/>
            <w:fldChar w:fldCharType="begin"/>
          </w:r>
          <w:r>
            <w:rPr/>
            <w:instrText xml:space="preserve"> DOCPROPERTY "DocVersion"</w:instrText>
          </w:r>
          <w:r>
            <w:rPr/>
            <w:fldChar w:fldCharType="separate"/>
          </w:r>
          <w:r>
            <w:rPr/>
            <w:t>1</w:t>
          </w:r>
          <w:r>
            <w:rPr/>
            <w:fldChar w:fldCharType="end"/>
          </w:r>
        </w:p>
        <w:p>
          <w:pPr>
            <w:pStyle w:val="FooterTxt"/>
            <w:rPr/>
          </w:pPr>
          <w:r>
            <w:rPr/>
            <w:fldChar w:fldCharType="begin"/>
          </w:r>
          <w:r>
            <w:rPr/>
            <w:instrText xml:space="preserve"> DOCPROPERTY "Client"</w:instrText>
          </w:r>
          <w:r>
            <w:rPr/>
            <w:fldChar w:fldCharType="separate"/>
          </w:r>
          <w:r>
            <w:rPr/>
            <w:t>00000</w:t>
          </w:r>
          <w:r>
            <w:rPr/>
            <w:fldChar w:fldCharType="end"/>
          </w:r>
          <w:r>
            <w:rPr/>
            <w:t>/</w:t>
          </w:r>
          <w:r>
            <w:rPr/>
            <w:fldChar w:fldCharType="begin"/>
          </w:r>
          <w:r>
            <w:rPr/>
            <w:instrText xml:space="preserve"> DOCPROPERTY "Matter"</w:instrText>
          </w:r>
          <w:r>
            <w:rPr/>
            <w:fldChar w:fldCharType="separate"/>
          </w:r>
          <w:r>
            <w:rPr/>
            <w:t>00850</w:t>
          </w:r>
          <w:r>
            <w:rPr/>
            <w:fldChar w:fldCharType="end"/>
          </w:r>
        </w:p>
        <w:p>
          <w:pPr>
            <w:pStyle w:val="FooterTxt"/>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rPr/>
          </w:pPr>
          <w:r>
            <w:rPr/>
            <w:fldChar w:fldCharType="begin"/>
          </w:r>
          <w:r>
            <w:rPr/>
            <w:instrText xml:space="preserve"> DOCPROPERTY "DocNumber"</w:instrText>
          </w:r>
          <w:r>
            <w:rPr/>
            <w:fldChar w:fldCharType="separate"/>
          </w:r>
          <w:r>
            <w:rPr/>
            <w:t>65009</w:t>
          </w:r>
          <w:r>
            <w:rPr/>
            <w:fldChar w:fldCharType="end"/>
          </w:r>
          <w:r>
            <w:rPr/>
            <w:t>.</w:t>
          </w:r>
          <w:r>
            <w:rPr/>
            <w:fldChar w:fldCharType="begin"/>
          </w:r>
          <w:r>
            <w:rPr/>
            <w:instrText xml:space="preserve"> DOCPROPERTY "DocVersion"</w:instrText>
          </w:r>
          <w:r>
            <w:rPr/>
            <w:fldChar w:fldCharType="separate"/>
          </w:r>
          <w:r>
            <w:rPr/>
            <w:t>1</w:t>
          </w:r>
          <w:r>
            <w:rPr/>
            <w:fldChar w:fldCharType="end"/>
          </w:r>
        </w:p>
        <w:p>
          <w:pPr>
            <w:pStyle w:val="FooterTxt"/>
            <w:rPr/>
          </w:pPr>
          <w:r>
            <w:rPr/>
            <w:fldChar w:fldCharType="begin"/>
          </w:r>
          <w:r>
            <w:rPr/>
            <w:instrText xml:space="preserve"> DOCPROPERTY "Client"</w:instrText>
          </w:r>
          <w:r>
            <w:rPr/>
            <w:fldChar w:fldCharType="separate"/>
          </w:r>
          <w:r>
            <w:rPr/>
            <w:t>00000</w:t>
          </w:r>
          <w:r>
            <w:rPr/>
            <w:fldChar w:fldCharType="end"/>
          </w:r>
          <w:r>
            <w:rPr/>
            <w:t>/</w:t>
          </w:r>
          <w:r>
            <w:rPr/>
            <w:fldChar w:fldCharType="begin"/>
          </w:r>
          <w:r>
            <w:rPr/>
            <w:instrText xml:space="preserve"> DOCPROPERTY "Matter"</w:instrText>
          </w:r>
          <w:r>
            <w:rPr/>
            <w:fldChar w:fldCharType="separate"/>
          </w:r>
          <w:r>
            <w:rPr/>
            <w:t>00850</w:t>
          </w:r>
          <w:r>
            <w:rPr/>
            <w:fldChar w:fldCharType="end"/>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ab/>
      </w:r>
      <w:r>
        <w:rPr>
          <w:rStyle w:val="FootnoteCharacters"/>
        </w:rPr>
        <w:t>?</w:t>
      </w:r>
      <w:r>
        <w:rPr/>
        <w:t xml:space="preserve"> </w:t>
      </w:r>
      <w:bookmarkStart w:id="0" w:name="zImInFootnote"/>
      <w:bookmarkEnd w:id="0"/>
      <w:r>
        <w:rPr/>
        <w:tab/>
        <w:t>Petitioner is unable to provide information more current than July 31, 2001, because the Commission refused to allow evidentiary hearings at which such information would probably have been made part of the record.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lvl>
    <w:lvl w:ilvl="1">
      <w:start w:val="1"/>
      <w:pStyle w:val="Heading2"/>
      <w:numFmt w:val="upperLetter"/>
      <w:lvlText w:val="%2"/>
      <w:lvlJc w:val="start"/>
      <w:pPr>
        <w:tabs>
          <w:tab w:val="num" w:pos="0"/>
        </w:tabs>
        <w:ind w:start="0" w:hanging="0"/>
      </w:pPr>
    </w:lvl>
    <w:lvl w:ilvl="2">
      <w:start w:val="1"/>
      <w:pStyle w:val="Heading3"/>
      <w:numFmt w:val="decimal"/>
      <w:lvlText w:val="%3"/>
      <w:lvlJc w:val="start"/>
      <w:pPr>
        <w:tabs>
          <w:tab w:val="num" w:pos="0"/>
        </w:tabs>
        <w:ind w:start="0" w:hanging="0"/>
      </w:pPr>
    </w:lvl>
    <w:lvl w:ilvl="3">
      <w:start w:val="1"/>
      <w:pStyle w:val="Heading4"/>
      <w:numFmt w:val="lowerLetter"/>
      <w:lvlText w:val="%4"/>
      <w:lvlJc w:val="start"/>
      <w:pPr>
        <w:tabs>
          <w:tab w:val="num" w:pos="0"/>
        </w:tabs>
        <w:ind w:start="0" w:hanging="0"/>
      </w:pPr>
    </w:lvl>
    <w:lvl w:ilvl="4">
      <w:start w:val="1"/>
      <w:pStyle w:val="Heading5"/>
      <w:numFmt w:val="decimal"/>
      <w:lvlText w:val="%5"/>
      <w:lvlJc w:val="start"/>
      <w:pPr>
        <w:tabs>
          <w:tab w:val="num" w:pos="0"/>
        </w:tabs>
        <w:ind w:start="0" w:hanging="0"/>
      </w:pPr>
    </w:lvl>
    <w:lvl w:ilvl="5">
      <w:start w:val="1"/>
      <w:pStyle w:val="Heading6"/>
      <w:numFmt w:val="lowerLetter"/>
      <w:lvlText w:val="%6"/>
      <w:lvlJc w:val="start"/>
      <w:pPr>
        <w:tabs>
          <w:tab w:val="num" w:pos="0"/>
        </w:tabs>
        <w:ind w:start="0" w:hanging="0"/>
      </w:pPr>
    </w:lvl>
    <w:lvl w:ilvl="6">
      <w:start w:val="1"/>
      <w:pStyle w:val="Heading7"/>
      <w:numFmt w:val="lowerRoman"/>
      <w:lvlText w:val="%7"/>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1"/>
      <w:pStyle w:val="Heading9"/>
      <w:numFmt w:val="lowerRoman"/>
      <w:lvlText w:val="%9"/>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4"/>
      <w:szCs w:val="24"/>
      <w:lang w:val="en-US" w:eastAsia="zh-CN" w:bidi="hi-IN"/>
    </w:rPr>
  </w:style>
  <w:style w:type="paragraph" w:styleId="Heading1">
    <w:name w:val="heading 1"/>
    <w:basedOn w:val="Normal"/>
    <w:next w:val="Normal"/>
    <w:qFormat/>
    <w:pPr>
      <w:keepNext w:val="true"/>
      <w:keepLines/>
      <w:numPr>
        <w:ilvl w:val="0"/>
        <w:numId w:val="1"/>
      </w:numPr>
      <w:spacing w:lineRule="exact" w:line="480"/>
      <w:jc w:val="center"/>
      <w:outlineLvl w:val="0"/>
    </w:pPr>
    <w:rPr>
      <w:rFonts w:ascii="Courier New" w:hAnsi="Courier New" w:eastAsia="Courier New" w:cs="Courier New"/>
      <w:b/>
      <w:bCs/>
    </w:rPr>
  </w:style>
  <w:style w:type="paragraph" w:styleId="Heading2">
    <w:name w:val="heading 2"/>
    <w:basedOn w:val="Normal"/>
    <w:next w:val="Normal"/>
    <w:qFormat/>
    <w:pPr>
      <w:numPr>
        <w:ilvl w:val="1"/>
        <w:numId w:val="1"/>
      </w:numPr>
      <w:spacing w:lineRule="exact" w:line="480"/>
      <w:ind w:hanging="720" w:start="0" w:end="0"/>
      <w:outlineLvl w:val="1"/>
    </w:pPr>
    <w:rPr>
      <w:b/>
      <w:bCs/>
    </w:rPr>
  </w:style>
  <w:style w:type="paragraph" w:styleId="Heading3">
    <w:name w:val="heading 3"/>
    <w:basedOn w:val="Normal"/>
    <w:next w:val="Normal"/>
    <w:qFormat/>
    <w:pPr>
      <w:numPr>
        <w:ilvl w:val="2"/>
        <w:numId w:val="1"/>
      </w:numPr>
      <w:spacing w:lineRule="exact" w:line="480"/>
      <w:outlineLvl w:val="2"/>
    </w:pPr>
    <w:rPr>
      <w:b/>
      <w:bCs/>
    </w:rPr>
  </w:style>
  <w:style w:type="paragraph" w:styleId="Heading4">
    <w:name w:val="heading 4"/>
    <w:basedOn w:val="Normal"/>
    <w:next w:val="Normal"/>
    <w:qFormat/>
    <w:pPr>
      <w:numPr>
        <w:ilvl w:val="3"/>
        <w:numId w:val="1"/>
      </w:numPr>
      <w:spacing w:lineRule="exact" w:line="480"/>
      <w:ind w:firstLine="720" w:start="0" w:end="0"/>
      <w:outlineLvl w:val="3"/>
    </w:pPr>
    <w:rPr>
      <w:b/>
      <w:bCs/>
    </w:rPr>
  </w:style>
  <w:style w:type="paragraph" w:styleId="Heading5">
    <w:name w:val="heading 5"/>
    <w:basedOn w:val="Normal"/>
    <w:next w:val="Normal"/>
    <w:qFormat/>
    <w:pPr>
      <w:numPr>
        <w:ilvl w:val="4"/>
        <w:numId w:val="1"/>
      </w:numPr>
      <w:spacing w:lineRule="exact" w:line="480"/>
      <w:ind w:firstLine="1440" w:start="0" w:end="0"/>
      <w:outlineLvl w:val="4"/>
    </w:pPr>
    <w:rPr>
      <w:b/>
      <w:bCs/>
    </w:rPr>
  </w:style>
  <w:style w:type="paragraph" w:styleId="Heading6">
    <w:name w:val="heading 6"/>
    <w:basedOn w:val="Normal"/>
    <w:next w:val="Normal"/>
    <w:qFormat/>
    <w:pPr>
      <w:numPr>
        <w:ilvl w:val="5"/>
        <w:numId w:val="1"/>
      </w:numPr>
      <w:spacing w:lineRule="exact" w:line="480"/>
      <w:ind w:firstLine="2160" w:start="0" w:end="0"/>
      <w:outlineLvl w:val="5"/>
    </w:pPr>
    <w:rPr>
      <w:b/>
      <w:bCs/>
    </w:rPr>
  </w:style>
  <w:style w:type="paragraph" w:styleId="Heading7">
    <w:name w:val="heading 7"/>
    <w:basedOn w:val="Normal"/>
    <w:next w:val="Normal"/>
    <w:qFormat/>
    <w:pPr>
      <w:numPr>
        <w:ilvl w:val="6"/>
        <w:numId w:val="1"/>
      </w:numPr>
      <w:spacing w:lineRule="exact" w:line="480"/>
      <w:ind w:firstLine="2880" w:start="0" w:end="0"/>
      <w:outlineLvl w:val="6"/>
    </w:pPr>
    <w:rPr>
      <w:b/>
      <w:bCs/>
    </w:rPr>
  </w:style>
  <w:style w:type="paragraph" w:styleId="Heading8">
    <w:name w:val="heading 8"/>
    <w:basedOn w:val="Normal"/>
    <w:next w:val="Normal"/>
    <w:qFormat/>
    <w:pPr>
      <w:numPr>
        <w:ilvl w:val="7"/>
        <w:numId w:val="1"/>
      </w:numPr>
      <w:spacing w:lineRule="exact" w:line="480"/>
      <w:ind w:firstLine="3600" w:start="0" w:end="0"/>
      <w:outlineLvl w:val="7"/>
    </w:pPr>
    <w:rPr>
      <w:b/>
      <w:bCs/>
    </w:rPr>
  </w:style>
  <w:style w:type="paragraph" w:styleId="Heading9">
    <w:name w:val="heading 9"/>
    <w:basedOn w:val="Normal"/>
    <w:next w:val="Normal"/>
    <w:qFormat/>
    <w:pPr>
      <w:numPr>
        <w:ilvl w:val="8"/>
        <w:numId w:val="1"/>
      </w:numPr>
      <w:spacing w:lineRule="exact" w:line="480"/>
      <w:ind w:firstLine="4320" w:start="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lineRule="exact" w:line="480"/>
      <w:ind w:firstLine="720" w:start="0" w:end="0"/>
    </w:pPr>
    <w:rPr>
      <w:rFonts w:ascii="Courier New" w:hAnsi="Courier New" w:eastAsia="Courier New" w:cs="Courier New"/>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2001-09-07T18:43:00Z</dcterms:created>
  <dc:creator>Arter &amp; Hadden</dc:creator>
  <dc:description/>
  <dc:language>en-CA</dc:language>
  <cp:lastModifiedBy>Arter &amp; Hadden</cp:lastModifiedBy>
  <cp:lastPrinted>2001-09-07T12:57:00Z</cp:lastPrinted>
  <dcterms:modified xsi:type="dcterms:W3CDTF">2001-09-07T18:43:00Z</dcterms:modified>
  <cp:revision>2</cp:revision>
  <dc:subject/>
  <dc:title>MEMORANDUM OF POINTS AND AUTHORITIES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00000</vt:lpwstr>
  </property>
  <property fmtid="{D5CDD505-2E9C-101B-9397-08002B2CF9AE}" pid="3" name="DocNumber">
    <vt:lpwstr>65009</vt:lpwstr>
  </property>
  <property fmtid="{D5CDD505-2E9C-101B-9397-08002B2CF9AE}" pid="4" name="DocVersion">
    <vt:lpwstr>1</vt:lpwstr>
  </property>
  <property fmtid="{D5CDD505-2E9C-101B-9397-08002B2CF9AE}" pid="5" name="Matter">
    <vt:lpwstr>00850</vt:lpwstr>
  </property>
</Properties>
</file>