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East Power Mid-Marketing New England Regional Business Plan</w:t>
      </w:r>
    </w:p>
    <w:p>
      <w:pPr>
        <w:pStyle w:val="Heading3"/>
        <w:jc w:val="center"/>
        <w:rPr>
          <w:i/>
          <w:i/>
          <w:u w:val="single"/>
        </w:rPr>
      </w:pPr>
      <w:r>
        <w:rPr>
          <w:i/>
          <w:sz w:val="22"/>
          <w:u w:val="single"/>
        </w:rPr>
        <w:t>DRAFT 7-10-00</w:t>
      </w:r>
    </w:p>
    <w:p>
      <w:pPr>
        <w:pStyle w:val="Normal"/>
        <w:rPr>
          <w:i/>
          <w:i/>
          <w:sz w:val="18"/>
          <w:u w:val="single"/>
        </w:rPr>
      </w:pPr>
      <w:r>
        <w:rPr>
          <w:i/>
          <w:sz w:val="18"/>
          <w:u w:val="single"/>
        </w:rPr>
      </w:r>
    </w:p>
    <w:p>
      <w:pPr>
        <w:pStyle w:val="Heading1"/>
        <w:ind w:hanging="0" w:start="0"/>
        <w:jc w:val="both"/>
        <w:rPr>
          <w:sz w:val="18"/>
          <w:u w:val="single"/>
        </w:rPr>
      </w:pPr>
      <w:r>
        <w:rPr>
          <w:sz w:val="18"/>
          <w:u w:val="single"/>
        </w:rPr>
        <w:t>Overview of the New England Power Market</w:t>
      </w:r>
    </w:p>
    <w:p>
      <w:pPr>
        <w:pStyle w:val="Normal"/>
        <w:jc w:val="both"/>
        <w:rPr>
          <w:sz w:val="18"/>
        </w:rPr>
      </w:pPr>
      <w:r>
        <w:rPr>
          <w:sz w:val="18"/>
        </w:rPr>
        <w:t>The New England Market covers the 6-state region including Massachusetts, Connecticut, New Hampshire, Maine, Vermont, and Rhode Island, with each state falling under separate state regulatory jurisdiction.  Key aspects of the region are as follows:</w:t>
      </w:r>
    </w:p>
    <w:p>
      <w:pPr>
        <w:pStyle w:val="Normal"/>
        <w:numPr>
          <w:ilvl w:val="0"/>
          <w:numId w:val="6"/>
        </w:numPr>
        <w:jc w:val="both"/>
        <w:rPr>
          <w:sz w:val="18"/>
        </w:rPr>
      </w:pPr>
      <w:r>
        <w:rPr>
          <w:sz w:val="18"/>
        </w:rPr>
        <w:t>Projected peak demand of over 23,000 MW for summer 2000.  Projected peak demand growth of ~2% for near to long-term.</w:t>
      </w:r>
    </w:p>
    <w:p>
      <w:pPr>
        <w:pStyle w:val="Normal"/>
        <w:numPr>
          <w:ilvl w:val="0"/>
          <w:numId w:val="6"/>
        </w:numPr>
        <w:jc w:val="both"/>
        <w:rPr>
          <w:sz w:val="18"/>
        </w:rPr>
      </w:pPr>
      <w:r>
        <w:rPr>
          <w:sz w:val="18"/>
        </w:rPr>
        <w:t>Most utility generation has been divested, some of which being sold back to utility under transition sales agreements</w:t>
      </w:r>
    </w:p>
    <w:p>
      <w:pPr>
        <w:pStyle w:val="Normal"/>
        <w:numPr>
          <w:ilvl w:val="0"/>
          <w:numId w:val="6"/>
        </w:numPr>
        <w:jc w:val="both"/>
        <w:rPr>
          <w:sz w:val="18"/>
        </w:rPr>
      </w:pPr>
      <w:r>
        <w:rPr>
          <w:sz w:val="18"/>
        </w:rPr>
        <w:t>ISO-New England (ISO-NE) operates bid-based clearing markets for 6 supply products and administers regional-wide transmission tariff with “license plate” rates</w:t>
      </w:r>
    </w:p>
    <w:p>
      <w:pPr>
        <w:pStyle w:val="Normal"/>
        <w:numPr>
          <w:ilvl w:val="0"/>
          <w:numId w:val="6"/>
        </w:numPr>
        <w:jc w:val="both"/>
        <w:rPr>
          <w:sz w:val="18"/>
        </w:rPr>
      </w:pPr>
      <w:r>
        <w:rPr>
          <w:sz w:val="18"/>
        </w:rPr>
        <w:t>Market rules determined and governance of spot markets performed by New England Power Pool (NEPOOL), which is the representation of market participants within the New England power market.</w:t>
      </w:r>
    </w:p>
    <w:p>
      <w:pPr>
        <w:pStyle w:val="Normal"/>
        <w:numPr>
          <w:ilvl w:val="0"/>
          <w:numId w:val="6"/>
        </w:numPr>
        <w:jc w:val="both"/>
        <w:rPr>
          <w:sz w:val="18"/>
        </w:rPr>
      </w:pPr>
      <w:r>
        <w:rPr>
          <w:sz w:val="18"/>
        </w:rPr>
        <w:t>ISO operates hourly spot markets for energy, 3 forms of operating reserves, automatic generation control (AGC), and monthly market for Installed Capability (ICAP); all of these markets have been in operation since at least May 1999; frequent issues with market design flaws causing price spikes and ISO-NE intervention/price mitigation.</w:t>
      </w:r>
    </w:p>
    <w:p>
      <w:pPr>
        <w:pStyle w:val="Normal"/>
        <w:numPr>
          <w:ilvl w:val="0"/>
          <w:numId w:val="6"/>
        </w:numPr>
        <w:jc w:val="both"/>
        <w:rPr>
          <w:sz w:val="18"/>
        </w:rPr>
      </w:pPr>
      <w:r>
        <w:rPr>
          <w:sz w:val="18"/>
        </w:rPr>
        <w:t>Currently only single settlement, day-ahead market with single pool clearing price;  proceeding to implement multi-settlement (day-ahead and real-time) and location pricing framework very similar for NY/PJM (expected in place by early 2002)</w:t>
      </w:r>
    </w:p>
    <w:p>
      <w:pPr>
        <w:pStyle w:val="Normal"/>
        <w:numPr>
          <w:ilvl w:val="0"/>
          <w:numId w:val="6"/>
        </w:numPr>
        <w:jc w:val="both"/>
        <w:rPr>
          <w:sz w:val="18"/>
        </w:rPr>
      </w:pPr>
      <w:r>
        <w:rPr>
          <w:sz w:val="18"/>
        </w:rPr>
        <w:t>Relatively islanded;  has transmission interconnections totaling ~4000 MW with NY, Quebec, and New Brunswick, much of which is currently tied up in contracts.</w:t>
      </w:r>
    </w:p>
    <w:p>
      <w:pPr>
        <w:pStyle w:val="Normal"/>
        <w:numPr>
          <w:ilvl w:val="0"/>
          <w:numId w:val="6"/>
        </w:numPr>
        <w:jc w:val="both"/>
        <w:rPr>
          <w:sz w:val="18"/>
        </w:rPr>
      </w:pPr>
      <w:r>
        <w:rPr>
          <w:sz w:val="18"/>
        </w:rPr>
        <w:t>Significant new generation under construction ~ 2000 MW by summer/fall 2000; 5000-6000 MW or more within 2-3 years; virtually all new build is gas-fired combined cycle; likely to experience overbuild in 2-3 years time</w:t>
      </w:r>
    </w:p>
    <w:p>
      <w:pPr>
        <w:pStyle w:val="Normal"/>
        <w:jc w:val="both"/>
        <w:rPr>
          <w:sz w:val="18"/>
        </w:rPr>
      </w:pPr>
      <w:r>
        <w:rPr>
          <w:sz w:val="18"/>
        </w:rPr>
      </w:r>
    </w:p>
    <w:p>
      <w:pPr>
        <w:pStyle w:val="Heading1"/>
        <w:ind w:hanging="0" w:start="0"/>
        <w:jc w:val="both"/>
        <w:rPr>
          <w:sz w:val="18"/>
          <w:u w:val="single"/>
        </w:rPr>
      </w:pPr>
      <w:r>
        <w:rPr>
          <w:sz w:val="18"/>
          <w:u w:val="single"/>
        </w:rPr>
        <w:t>Regulatory/Market Restructuring Overview/Action Plan</w:t>
      </w:r>
    </w:p>
    <w:p>
      <w:pPr>
        <w:pStyle w:val="Normal"/>
        <w:numPr>
          <w:ilvl w:val="0"/>
          <w:numId w:val="13"/>
        </w:numPr>
        <w:tabs>
          <w:tab w:val="clear" w:pos="720"/>
          <w:tab w:val="left" w:pos="360" w:leader="none"/>
        </w:tabs>
        <w:ind w:hanging="360" w:start="360" w:end="0"/>
        <w:jc w:val="both"/>
        <w:rPr>
          <w:sz w:val="18"/>
        </w:rPr>
      </w:pPr>
      <w:r>
        <w:rPr>
          <w:b/>
          <w:sz w:val="18"/>
        </w:rPr>
        <w:t>Wholesale Market Restructuring Issues</w:t>
      </w:r>
      <w:r>
        <w:rPr>
          <w:sz w:val="18"/>
        </w:rPr>
        <w:t xml:space="preserve"> – Enron must take an aggressive and proactive role in guiding the continued development and reform of the NEPOOL market through complete regulatory/market committee coverage, lobbying governmental/political authorities, and persuading and aligning with influential market participants/counter-parties.  Given the numerous common restructuring issues between NEPOOL, NY, and PJM, our philosophies and positions must be consistent and seamless in each of these regions (especially with potential merging of these ISOs down the road).</w:t>
      </w:r>
    </w:p>
    <w:p>
      <w:pPr>
        <w:pStyle w:val="Normal"/>
        <w:numPr>
          <w:ilvl w:val="0"/>
          <w:numId w:val="4"/>
        </w:numPr>
        <w:tabs>
          <w:tab w:val="left" w:pos="720" w:leader="none"/>
        </w:tabs>
        <w:ind w:hanging="360" w:start="720" w:end="0"/>
        <w:jc w:val="both"/>
        <w:rPr>
          <w:sz w:val="18"/>
        </w:rPr>
      </w:pPr>
      <w:r>
        <w:rPr>
          <w:b/>
          <w:i/>
          <w:sz w:val="18"/>
        </w:rPr>
        <w:t>Elimination of ICAP</w:t>
      </w:r>
      <w:r>
        <w:rPr>
          <w:sz w:val="18"/>
        </w:rPr>
        <w:t xml:space="preserve"> – primary focus for near-term;  FERC recently rejected elimination of ICAP requirement and mandated  administrative deficiency penalties in place of auction market;  Dan Allegretti leading Enron’s intensive lobbying effort to get penalty set as low as possible.  Enron’s long-term proposed solution is to rely upon reformed operating reserve markets to replace ICAP and promote reliability/operational flexibility</w:t>
      </w:r>
    </w:p>
    <w:p>
      <w:pPr>
        <w:pStyle w:val="Normal"/>
        <w:numPr>
          <w:ilvl w:val="0"/>
          <w:numId w:val="4"/>
        </w:numPr>
        <w:tabs>
          <w:tab w:val="left" w:pos="720" w:leader="none"/>
        </w:tabs>
        <w:ind w:hanging="360" w:start="720" w:end="0"/>
        <w:jc w:val="both"/>
        <w:rPr>
          <w:b/>
          <w:i/>
          <w:i/>
          <w:sz w:val="18"/>
        </w:rPr>
      </w:pPr>
      <w:r>
        <w:rPr>
          <w:b/>
          <w:i/>
          <w:sz w:val="18"/>
        </w:rPr>
        <w:t>Reserves Market Restructuring</w:t>
      </w:r>
      <w:r>
        <w:rPr>
          <w:sz w:val="18"/>
        </w:rPr>
        <w:t xml:space="preserve"> – intensive efforts underway to fix reserve market design flaws which have resulted in volatile reserve prices and complete lack of liquidity in bilateral markets for these products.  During times of reserve shortage, ISO-NE currently imposes a cap on reserves at no higher than the energy clearing price; NEPOOL recently filed for extension of that cap through end of 2000 (awaiting approval from FERC) while more permanent reforms are being worked on.</w:t>
      </w:r>
    </w:p>
    <w:p>
      <w:pPr>
        <w:pStyle w:val="Normal"/>
        <w:numPr>
          <w:ilvl w:val="0"/>
          <w:numId w:val="4"/>
        </w:numPr>
        <w:tabs>
          <w:tab w:val="left" w:pos="720" w:leader="none"/>
        </w:tabs>
        <w:ind w:hanging="360" w:start="720" w:end="0"/>
        <w:jc w:val="both"/>
        <w:rPr>
          <w:sz w:val="18"/>
        </w:rPr>
      </w:pPr>
      <w:r>
        <w:rPr>
          <w:b/>
          <w:i/>
          <w:sz w:val="18"/>
        </w:rPr>
        <w:t>Transmission/Energy Uplift</w:t>
      </w:r>
      <w:r>
        <w:rPr>
          <w:sz w:val="18"/>
        </w:rPr>
        <w:t xml:space="preserve">  -- has become a big issue in NEPOOL due to costs of  dispatching out-of-merit generation due to transmission constraints, unit ramping constraints, and construction/unplanned outages.  Difficult to hedge since not reflected in energy clearing price.  NEPOOL working to reform rules that create uplift windfall to generators; problem expected to be largely addressed through implementation of congestion management system.</w:t>
      </w:r>
    </w:p>
    <w:p>
      <w:pPr>
        <w:pStyle w:val="Normal"/>
        <w:numPr>
          <w:ilvl w:val="0"/>
          <w:numId w:val="4"/>
        </w:numPr>
        <w:tabs>
          <w:tab w:val="clear" w:pos="720"/>
        </w:tabs>
        <w:ind w:hanging="360" w:start="720" w:end="0"/>
        <w:jc w:val="both"/>
        <w:rPr>
          <w:b/>
          <w:i/>
          <w:i/>
          <w:sz w:val="18"/>
        </w:rPr>
      </w:pPr>
      <w:r>
        <w:rPr>
          <w:b/>
          <w:i/>
          <w:sz w:val="18"/>
        </w:rPr>
        <w:t>Congestion Management Systems (CMS)/Multi-Settlement System (MSS) Implementation and related issues</w:t>
      </w:r>
    </w:p>
    <w:p>
      <w:pPr>
        <w:pStyle w:val="Normal"/>
        <w:numPr>
          <w:ilvl w:val="0"/>
          <w:numId w:val="8"/>
        </w:numPr>
        <w:tabs>
          <w:tab w:val="clear" w:pos="720"/>
          <w:tab w:val="left" w:pos="1080" w:leader="none"/>
        </w:tabs>
        <w:ind w:hanging="360" w:start="1080" w:end="0"/>
        <w:jc w:val="both"/>
        <w:rPr>
          <w:sz w:val="18"/>
        </w:rPr>
      </w:pPr>
      <w:r>
        <w:rPr>
          <w:sz w:val="18"/>
        </w:rPr>
        <w:t>Establishment of a system of tradable financial transmission rights, and protocols for assignment, auction, and re-marketing of those rights;</w:t>
      </w:r>
    </w:p>
    <w:p>
      <w:pPr>
        <w:pStyle w:val="Normal"/>
        <w:numPr>
          <w:ilvl w:val="0"/>
          <w:numId w:val="8"/>
        </w:numPr>
        <w:tabs>
          <w:tab w:val="clear" w:pos="720"/>
          <w:tab w:val="left" w:pos="1080" w:leader="none"/>
        </w:tabs>
        <w:ind w:hanging="360" w:start="1080" w:end="0"/>
        <w:jc w:val="both"/>
        <w:rPr>
          <w:sz w:val="18"/>
        </w:rPr>
      </w:pPr>
      <w:r>
        <w:rPr>
          <w:sz w:val="18"/>
        </w:rPr>
        <w:t>Establishment of day-ahead and real-time bidding and settlement procedures (relying on experience gained in PJM/NY and lessons-learned);</w:t>
      </w:r>
    </w:p>
    <w:p>
      <w:pPr>
        <w:pStyle w:val="Normal"/>
        <w:numPr>
          <w:ilvl w:val="0"/>
          <w:numId w:val="8"/>
        </w:numPr>
        <w:tabs>
          <w:tab w:val="clear" w:pos="720"/>
          <w:tab w:val="left" w:pos="1080" w:leader="none"/>
        </w:tabs>
        <w:ind w:hanging="360" w:start="1080" w:end="0"/>
        <w:jc w:val="both"/>
        <w:rPr>
          <w:sz w:val="18"/>
        </w:rPr>
      </w:pPr>
      <w:r>
        <w:rPr>
          <w:sz w:val="18"/>
        </w:rPr>
        <w:t>Design and implementation of market mechanisms required in implementing CMS/MSS, including new reserve products (e.g., 4-hour reserves)</w:t>
      </w:r>
    </w:p>
    <w:p>
      <w:pPr>
        <w:pStyle w:val="Normal"/>
        <w:numPr>
          <w:ilvl w:val="0"/>
          <w:numId w:val="4"/>
        </w:numPr>
        <w:tabs>
          <w:tab w:val="clear" w:pos="720"/>
        </w:tabs>
        <w:ind w:hanging="360" w:start="720" w:end="0"/>
        <w:jc w:val="both"/>
        <w:rPr>
          <w:b/>
          <w:i/>
          <w:i/>
          <w:sz w:val="18"/>
        </w:rPr>
      </w:pPr>
      <w:r>
        <w:rPr>
          <w:b/>
          <w:i/>
          <w:sz w:val="18"/>
        </w:rPr>
        <w:t>Inter-regional/Seams Issues</w:t>
      </w:r>
    </w:p>
    <w:p>
      <w:pPr>
        <w:pStyle w:val="Normal"/>
        <w:numPr>
          <w:ilvl w:val="0"/>
          <w:numId w:val="2"/>
        </w:numPr>
        <w:tabs>
          <w:tab w:val="clear" w:pos="720"/>
          <w:tab w:val="left" w:pos="1080" w:leader="none"/>
        </w:tabs>
        <w:ind w:hanging="360" w:start="1080" w:end="0"/>
        <w:jc w:val="both"/>
        <w:rPr>
          <w:sz w:val="18"/>
        </w:rPr>
      </w:pPr>
      <w:r>
        <w:rPr>
          <w:sz w:val="18"/>
        </w:rPr>
        <w:t>Elimination of In-Service transmission charges to remove economic barriers to importing into NEPOOL from neighboring regions;</w:t>
      </w:r>
    </w:p>
    <w:p>
      <w:pPr>
        <w:pStyle w:val="Normal"/>
        <w:numPr>
          <w:ilvl w:val="0"/>
          <w:numId w:val="2"/>
        </w:numPr>
        <w:tabs>
          <w:tab w:val="clear" w:pos="720"/>
          <w:tab w:val="left" w:pos="1080" w:leader="none"/>
        </w:tabs>
        <w:ind w:hanging="360" w:start="1080" w:end="0"/>
        <w:jc w:val="both"/>
        <w:rPr>
          <w:sz w:val="18"/>
        </w:rPr>
      </w:pPr>
      <w:r>
        <w:rPr>
          <w:sz w:val="18"/>
        </w:rPr>
        <w:t>Argue for roll-in  of embedded cost of HVDC Interconnection between NEPOOL and Quebec into NEPOOL regional transmission rate to mitigate economic barrier to interregional trade between NEPOOL and Quebec (HVDC standalone rate is ~ $65/kW-year as compared to ~ $15/kW-Year for ISO-NE regional tariff)</w:t>
      </w:r>
    </w:p>
    <w:p>
      <w:pPr>
        <w:pStyle w:val="Normal"/>
        <w:numPr>
          <w:ilvl w:val="0"/>
          <w:numId w:val="2"/>
        </w:numPr>
        <w:tabs>
          <w:tab w:val="clear" w:pos="720"/>
          <w:tab w:val="left" w:pos="1080" w:leader="none"/>
        </w:tabs>
        <w:ind w:hanging="360" w:start="1080" w:end="0"/>
        <w:jc w:val="both"/>
        <w:rPr>
          <w:sz w:val="18"/>
        </w:rPr>
      </w:pPr>
      <w:r>
        <w:rPr>
          <w:sz w:val="18"/>
        </w:rPr>
        <w:t>Push for market reforms aimed at addressing price divergences and lack of correlation to fundamentals at “proxy buses” at pool borders; attempt to create liquidity at border pricing points through promotion of physically/financial traded inter-regional products.</w:t>
      </w:r>
    </w:p>
    <w:p>
      <w:pPr>
        <w:pStyle w:val="Normal"/>
        <w:numPr>
          <w:ilvl w:val="0"/>
          <w:numId w:val="2"/>
        </w:numPr>
        <w:tabs>
          <w:tab w:val="clear" w:pos="720"/>
          <w:tab w:val="left" w:pos="1080" w:leader="none"/>
        </w:tabs>
        <w:ind w:hanging="360" w:start="1080" w:end="0"/>
        <w:jc w:val="both"/>
        <w:rPr>
          <w:sz w:val="18"/>
        </w:rPr>
      </w:pPr>
      <w:r>
        <w:rPr>
          <w:sz w:val="18"/>
        </w:rPr>
        <w:t>Address problems associated with inconsistent/arbitrary treatment of inter-regional exports/imports that often lead to curtailments/cuts; goal should be to promote market-based mechanisms and limit to greatest extent reliance on ISO judgement and application of non-market decision rules.</w:t>
      </w:r>
    </w:p>
    <w:p>
      <w:pPr>
        <w:pStyle w:val="Heading4"/>
        <w:numPr>
          <w:ilvl w:val="0"/>
          <w:numId w:val="13"/>
        </w:numPr>
        <w:rPr>
          <w:sz w:val="18"/>
        </w:rPr>
      </w:pPr>
      <w:r>
        <w:rPr>
          <w:sz w:val="18"/>
        </w:rPr>
        <w:t>State-Level Regulatory/Market Issues</w:t>
      </w:r>
    </w:p>
    <w:p>
      <w:pPr>
        <w:pStyle w:val="Normal"/>
        <w:numPr>
          <w:ilvl w:val="0"/>
          <w:numId w:val="6"/>
        </w:numPr>
        <w:jc w:val="both"/>
        <w:rPr>
          <w:sz w:val="18"/>
        </w:rPr>
      </w:pPr>
      <w:r>
        <w:rPr>
          <w:sz w:val="18"/>
        </w:rPr>
        <w:t>All states except for Vermont currently have (or soon will have) full retail competition</w:t>
      </w:r>
    </w:p>
    <w:p>
      <w:pPr>
        <w:pStyle w:val="Normal"/>
        <w:numPr>
          <w:ilvl w:val="0"/>
          <w:numId w:val="6"/>
        </w:numPr>
        <w:jc w:val="both"/>
        <w:rPr>
          <w:sz w:val="18"/>
        </w:rPr>
      </w:pPr>
      <w:r>
        <w:rPr>
          <w:sz w:val="18"/>
        </w:rPr>
        <w:t>Wires companies required to provide standard offer service (SOS) to retail customers at fixed rates for transition periods of differing duration: e.g. through 2003 (CT), 2004 (Mass), and 2009 (RI).  Most SOS rates currently below wholesale prices resulting in minimal customer migration to competitive suppliers</w:t>
      </w:r>
    </w:p>
    <w:p>
      <w:pPr>
        <w:pStyle w:val="Normal"/>
        <w:numPr>
          <w:ilvl w:val="0"/>
          <w:numId w:val="6"/>
        </w:numPr>
        <w:jc w:val="both"/>
        <w:rPr>
          <w:sz w:val="18"/>
        </w:rPr>
      </w:pPr>
      <w:r>
        <w:rPr>
          <w:sz w:val="18"/>
        </w:rPr>
        <w:t>Wires companies required to be supplier of last resort under default service tariffs</w:t>
      </w:r>
    </w:p>
    <w:p>
      <w:pPr>
        <w:pStyle w:val="Normal"/>
        <w:numPr>
          <w:ilvl w:val="0"/>
          <w:numId w:val="6"/>
        </w:numPr>
        <w:jc w:val="both"/>
        <w:rPr>
          <w:sz w:val="18"/>
        </w:rPr>
      </w:pPr>
      <w:r>
        <w:rPr>
          <w:sz w:val="18"/>
        </w:rPr>
        <w:t>Recent push to set default service rates in line with market rates to bolster retail competition and eliminate gaming</w:t>
      </w:r>
    </w:p>
    <w:p>
      <w:pPr>
        <w:pStyle w:val="Normal"/>
        <w:numPr>
          <w:ilvl w:val="0"/>
          <w:numId w:val="6"/>
        </w:numPr>
        <w:jc w:val="both"/>
        <w:rPr>
          <w:sz w:val="18"/>
        </w:rPr>
      </w:pPr>
      <w:r>
        <w:rPr>
          <w:sz w:val="18"/>
        </w:rPr>
        <w:t>States at various stages of considering/implementing renewable portfolio standards</w:t>
      </w:r>
    </w:p>
    <w:p>
      <w:pPr>
        <w:pStyle w:val="Heading4"/>
        <w:numPr>
          <w:ilvl w:val="0"/>
          <w:numId w:val="13"/>
        </w:numPr>
        <w:rPr>
          <w:b w:val="false"/>
          <w:sz w:val="18"/>
        </w:rPr>
      </w:pPr>
      <w:r>
        <w:rPr>
          <w:sz w:val="18"/>
        </w:rPr>
        <w:t>Regulatory/Market Committee Coverage</w:t>
      </w:r>
      <w:r>
        <w:rPr>
          <w:b w:val="false"/>
          <w:sz w:val="18"/>
        </w:rPr>
        <w:t xml:space="preserve"> – Dan Allegretti will continue to have primary responsibility for covering the various NEPOOL market/regulatory committees.  Mid-marketing will continue to provide supplemental coverage of important commercial forums (e.g., NEPOOL Market Committee, Reserves Working Group Committee, etc.) and serve as liaison to trading desk for Dan.  Use of consultants should be minimized, and every effort should be made to cover important forums with Enron personnel.  To the extent consultants are used, we must ensure that we are getting full value by requiring consultants to improve their channeling of information to us and require frequent downloads on key issues.   The following is a list of important committees/forums that will need to be covered:</w:t>
      </w:r>
    </w:p>
    <w:p>
      <w:pPr>
        <w:pStyle w:val="Normal"/>
        <w:numPr>
          <w:ilvl w:val="0"/>
          <w:numId w:val="5"/>
        </w:numPr>
        <w:tabs>
          <w:tab w:val="left" w:pos="720" w:leader="none"/>
        </w:tabs>
        <w:ind w:hanging="360" w:start="720" w:end="0"/>
        <w:rPr>
          <w:sz w:val="18"/>
        </w:rPr>
      </w:pPr>
      <w:r>
        <w:rPr>
          <w:sz w:val="18"/>
        </w:rPr>
        <w:t>NEPOOL Committees: Participants Committee, Markets Committee, Reserves Working Group, CMS/MSS Working Group.  Other less important NEPOOL committees (e.g., Tariff Committee, Reliability Committee, etc.) will be monitored but physical coverage will be selective based on importance of discussion topics/agenda.</w:t>
      </w:r>
    </w:p>
    <w:p>
      <w:pPr>
        <w:pStyle w:val="Normal"/>
        <w:numPr>
          <w:ilvl w:val="0"/>
          <w:numId w:val="5"/>
        </w:numPr>
        <w:tabs>
          <w:tab w:val="left" w:pos="720" w:leader="none"/>
        </w:tabs>
        <w:ind w:hanging="360" w:start="720" w:end="0"/>
        <w:rPr>
          <w:sz w:val="18"/>
        </w:rPr>
      </w:pPr>
      <w:r>
        <w:rPr>
          <w:sz w:val="18"/>
        </w:rPr>
        <w:t>State Regulatory Commissions – Dan Allegretti to have primary coverage for all New England state commissions except Massachusetts, which will be covered by Frank Rische.</w:t>
      </w:r>
    </w:p>
    <w:p>
      <w:pPr>
        <w:pStyle w:val="Normal"/>
        <w:numPr>
          <w:ilvl w:val="0"/>
          <w:numId w:val="5"/>
        </w:numPr>
        <w:tabs>
          <w:tab w:val="left" w:pos="720" w:leader="none"/>
        </w:tabs>
        <w:ind w:hanging="360" w:start="720" w:end="0"/>
        <w:rPr>
          <w:sz w:val="18"/>
        </w:rPr>
      </w:pPr>
      <w:r>
        <w:rPr>
          <w:sz w:val="18"/>
        </w:rPr>
        <w:t>Political Organizations – Mass Department of Energy Resources (DOER), New England Council of Public Utilities Commissioners (NECPUC); New England Governors’ Council</w:t>
      </w:r>
    </w:p>
    <w:p>
      <w:pPr>
        <w:pStyle w:val="Normal"/>
        <w:jc w:val="both"/>
        <w:rPr>
          <w:sz w:val="18"/>
        </w:rPr>
      </w:pPr>
      <w:r>
        <w:rPr>
          <w:sz w:val="18"/>
        </w:rPr>
      </w:r>
    </w:p>
    <w:p>
      <w:pPr>
        <w:pStyle w:val="Heading1"/>
        <w:ind w:hanging="0" w:start="0"/>
        <w:jc w:val="both"/>
        <w:rPr>
          <w:sz w:val="18"/>
          <w:u w:val="single"/>
        </w:rPr>
      </w:pPr>
      <w:r>
        <w:rPr>
          <w:sz w:val="18"/>
          <w:u w:val="single"/>
        </w:rPr>
        <w:t>Commercial Opportunities/Action Plan</w:t>
      </w:r>
    </w:p>
    <w:p>
      <w:pPr>
        <w:pStyle w:val="Heading4"/>
        <w:numPr>
          <w:ilvl w:val="0"/>
          <w:numId w:val="7"/>
        </w:numPr>
        <w:ind w:hanging="360" w:start="360" w:end="0"/>
        <w:rPr>
          <w:sz w:val="18"/>
        </w:rPr>
      </w:pPr>
      <w:r>
        <w:rPr>
          <w:sz w:val="18"/>
        </w:rPr>
        <w:t>Overview of Significant Business Opportunities</w:t>
      </w:r>
    </w:p>
    <w:p>
      <w:pPr>
        <w:pStyle w:val="Heading5"/>
        <w:rPr/>
      </w:pPr>
      <w:r>
        <w:rPr/>
        <w:t>FIRST-TIER OPPORTUNITIES</w:t>
      </w:r>
    </w:p>
    <w:p>
      <w:pPr>
        <w:pStyle w:val="Normal"/>
        <w:numPr>
          <w:ilvl w:val="0"/>
          <w:numId w:val="3"/>
        </w:numPr>
        <w:tabs>
          <w:tab w:val="clear" w:pos="720"/>
        </w:tabs>
        <w:ind w:hanging="360" w:start="810" w:end="0"/>
        <w:jc w:val="both"/>
        <w:rPr>
          <w:sz w:val="18"/>
        </w:rPr>
      </w:pPr>
      <w:r>
        <w:rPr>
          <w:b/>
          <w:i/>
          <w:sz w:val="18"/>
        </w:rPr>
        <w:t>Merchant Generation Plant/Asset Optimization Services</w:t>
      </w:r>
      <w:r>
        <w:rPr>
          <w:sz w:val="18"/>
        </w:rPr>
        <w:t xml:space="preserve"> – Virtually all utility-owned generating assets have been acquired by merchants and NEPOOL is experiencing significant new build that is expected to create a surplus of economic energy.  Expectation is that existing and new plant owners will have difficulty in meeting financial objectives/expectation and seek value-enhancing services from a third party.</w:t>
      </w:r>
    </w:p>
    <w:p>
      <w:pPr>
        <w:pStyle w:val="Normal"/>
        <w:numPr>
          <w:ilvl w:val="0"/>
          <w:numId w:val="12"/>
        </w:numPr>
        <w:tabs>
          <w:tab w:val="clear" w:pos="720"/>
          <w:tab w:val="left" w:pos="1080" w:leader="none"/>
        </w:tabs>
        <w:ind w:hanging="360" w:start="1080" w:end="0"/>
        <w:jc w:val="both"/>
        <w:rPr>
          <w:sz w:val="18"/>
        </w:rPr>
      </w:pPr>
      <w:r>
        <w:rPr>
          <w:sz w:val="18"/>
        </w:rPr>
        <w:t xml:space="preserve">Fuel tolling (physical, financial) arrangements – premise is that our fuel and power marketing capabilities can provide greater spread value than many customers can achieve on their own. </w:t>
      </w:r>
      <w:r>
        <w:rPr>
          <w:b/>
          <w:sz w:val="18"/>
        </w:rPr>
        <w:t>ISSUE:  Need to improve communication/coordination with gas desk to ensure we get best gas price forwards and expose maximum value.</w:t>
      </w:r>
    </w:p>
    <w:p>
      <w:pPr>
        <w:pStyle w:val="Normal"/>
        <w:numPr>
          <w:ilvl w:val="0"/>
          <w:numId w:val="12"/>
        </w:numPr>
        <w:tabs>
          <w:tab w:val="clear" w:pos="720"/>
          <w:tab w:val="left" w:pos="1080" w:leader="none"/>
        </w:tabs>
        <w:ind w:hanging="360" w:start="1080" w:end="0"/>
        <w:jc w:val="both"/>
        <w:rPr>
          <w:sz w:val="18"/>
        </w:rPr>
      </w:pPr>
      <w:r>
        <w:rPr>
          <w:sz w:val="18"/>
        </w:rPr>
        <w:t>Marketing/Asset Outsource Arrangements – Target generation owners in NEPOOL (both divested utility and new merchant plants) which possess core competencies in plant operations but lack sophisticated risk management/trading expertise. Potential transaction structures: management fee + share of upside; guaranteed base revenue + upside sharing, etc.</w:t>
      </w:r>
    </w:p>
    <w:p>
      <w:pPr>
        <w:pStyle w:val="Normal"/>
        <w:numPr>
          <w:ilvl w:val="0"/>
          <w:numId w:val="12"/>
        </w:numPr>
        <w:tabs>
          <w:tab w:val="clear" w:pos="720"/>
          <w:tab w:val="left" w:pos="1080" w:leader="none"/>
        </w:tabs>
        <w:ind w:hanging="360" w:start="1080" w:end="0"/>
        <w:jc w:val="both"/>
        <w:rPr>
          <w:sz w:val="18"/>
        </w:rPr>
      </w:pPr>
      <w:r>
        <w:rPr>
          <w:sz w:val="18"/>
        </w:rPr>
        <w:t>Financial Products/Services to Meet Merchants’ Financing, Debt Service, and Cash Flow Objectives – e.g., price floors, collars, Asian option price floors keyed to debt re-payment dates, upside sharing arrangements, etc.)</w:t>
      </w:r>
    </w:p>
    <w:p>
      <w:pPr>
        <w:pStyle w:val="Normal"/>
        <w:numPr>
          <w:ilvl w:val="0"/>
          <w:numId w:val="12"/>
        </w:numPr>
        <w:tabs>
          <w:tab w:val="clear" w:pos="720"/>
          <w:tab w:val="left" w:pos="1080" w:leader="none"/>
        </w:tabs>
        <w:ind w:hanging="360" w:start="1080" w:end="0"/>
        <w:jc w:val="both"/>
        <w:rPr>
          <w:sz w:val="18"/>
        </w:rPr>
      </w:pPr>
      <w:r>
        <w:rPr>
          <w:sz w:val="18"/>
        </w:rPr>
        <w:t>Financial/physical portfolio diversification and/or asset swaps – regional, baseload for intermediate/peaking, fuel diversification, etc.; strategically use Enron peaking capacity in Midwest/Southeast as currency for such transactions.</w:t>
      </w:r>
    </w:p>
    <w:p>
      <w:pPr>
        <w:pStyle w:val="Normal"/>
        <w:numPr>
          <w:ilvl w:val="0"/>
          <w:numId w:val="12"/>
        </w:numPr>
        <w:tabs>
          <w:tab w:val="clear" w:pos="720"/>
          <w:tab w:val="left" w:pos="1080" w:leader="none"/>
        </w:tabs>
        <w:ind w:hanging="360" w:start="1080" w:end="0"/>
        <w:jc w:val="both"/>
        <w:rPr>
          <w:sz w:val="18"/>
        </w:rPr>
      </w:pPr>
      <w:r>
        <w:rPr>
          <w:sz w:val="18"/>
        </w:rPr>
        <w:t xml:space="preserve">Unit-contingent/outage coverage – currently major disjoint between generator’s reluctance to enter into firm-LD deals and market preference to not assume unit contingent risk.  Unit contingent deals seeing significant price discounts. Could be significant value potential for Enron by offering outage coverage through efficient pooling of outage risks. Optimal structure may be for desk to work with Enron’s </w:t>
      </w:r>
      <w:r>
        <w:rPr>
          <w:i/>
          <w:sz w:val="18"/>
        </w:rPr>
        <w:t>Reliable Power</w:t>
      </w:r>
      <w:r>
        <w:rPr>
          <w:rFonts w:eastAsia="Symbol" w:cs="Symbol" w:ascii="Symbol" w:hAnsi="Symbol"/>
          <w:i/>
          <w:sz w:val="18"/>
        </w:rPr>
        <w:sym w:font="Symbol" w:char="f0d4"/>
      </w:r>
      <w:r>
        <w:rPr>
          <w:sz w:val="18"/>
        </w:rPr>
        <w:t xml:space="preserve"> outage insurance group to offload any unit-contingent risk assumed by the desk.</w:t>
      </w:r>
    </w:p>
    <w:p>
      <w:pPr>
        <w:pStyle w:val="Normal"/>
        <w:ind w:start="720" w:end="0"/>
        <w:jc w:val="both"/>
        <w:rPr>
          <w:sz w:val="18"/>
        </w:rPr>
      </w:pPr>
      <w:r>
        <w:rPr>
          <w:sz w:val="18"/>
        </w:rPr>
        <w:t>Key Target Customers: NRG, FPL, Southern Energy, Calpine/Calpine-EMI, ANP, Wisvest, Entergy Nuclear, Sithe, etc.</w:t>
      </w:r>
    </w:p>
    <w:p>
      <w:pPr>
        <w:pStyle w:val="Normal"/>
        <w:ind w:start="720" w:end="0"/>
        <w:jc w:val="both"/>
        <w:rPr>
          <w:sz w:val="18"/>
        </w:rPr>
      </w:pPr>
      <w:r>
        <w:rPr>
          <w:sz w:val="18"/>
        </w:rPr>
      </w:r>
    </w:p>
    <w:p>
      <w:pPr>
        <w:pStyle w:val="Normal"/>
        <w:numPr>
          <w:ilvl w:val="0"/>
          <w:numId w:val="3"/>
        </w:numPr>
        <w:tabs>
          <w:tab w:val="clear" w:pos="720"/>
        </w:tabs>
        <w:ind w:hanging="360" w:start="720" w:end="0"/>
        <w:jc w:val="both"/>
        <w:rPr>
          <w:sz w:val="18"/>
        </w:rPr>
      </w:pPr>
      <w:r>
        <w:rPr>
          <w:b/>
          <w:i/>
          <w:sz w:val="18"/>
        </w:rPr>
        <w:t>Full/Partial Requirements Sales Arrangements</w:t>
      </w:r>
      <w:r>
        <w:rPr>
          <w:sz w:val="18"/>
        </w:rPr>
        <w:t xml:space="preserve"> – Utility divestiture of power plants and expiration of supply contracts has left a number of utilities with net short positions and, due to recent price volatility, a heightened motivation and desire to exit the power commodity business.  Not only will Enron likely be able to extract a significant near-term risk premium based on these entities’ fears, but there is likely to be significant value in the back end of these types of transactions due to anticipated generation overbuild and curve backwardation.  May be added value potential in particular locations (e.g. Maine), in which a supply pocket is anticipated to occur thereby causing depressed locational pool clearing prices.</w:t>
      </w:r>
    </w:p>
    <w:p>
      <w:pPr>
        <w:pStyle w:val="BodyTextIndent2"/>
        <w:numPr>
          <w:ilvl w:val="0"/>
          <w:numId w:val="16"/>
        </w:numPr>
        <w:tabs>
          <w:tab w:val="clear" w:pos="720"/>
          <w:tab w:val="left" w:pos="1080" w:leader="none"/>
        </w:tabs>
        <w:ind w:hanging="360" w:start="1080" w:end="0"/>
        <w:rPr>
          <w:sz w:val="18"/>
        </w:rPr>
      </w:pPr>
      <w:r>
        <w:rPr>
          <w:sz w:val="18"/>
        </w:rPr>
        <w:t>Complete assumption of load-following obligations and attendant ancillary service/capacity obligations.</w:t>
      </w:r>
    </w:p>
    <w:p>
      <w:pPr>
        <w:pStyle w:val="BodyTextIndent2"/>
        <w:numPr>
          <w:ilvl w:val="0"/>
          <w:numId w:val="16"/>
        </w:numPr>
        <w:tabs>
          <w:tab w:val="clear" w:pos="720"/>
          <w:tab w:val="left" w:pos="1080" w:leader="none"/>
        </w:tabs>
        <w:ind w:hanging="360" w:start="1080" w:end="0"/>
        <w:rPr>
          <w:sz w:val="18"/>
        </w:rPr>
      </w:pPr>
      <w:r>
        <w:rPr>
          <w:sz w:val="18"/>
        </w:rPr>
        <w:t>Sculpted energy blocks to approximate hourly needs</w:t>
      </w:r>
    </w:p>
    <w:p>
      <w:pPr>
        <w:pStyle w:val="BodyTextIndent2"/>
        <w:numPr>
          <w:ilvl w:val="0"/>
          <w:numId w:val="16"/>
        </w:numPr>
        <w:tabs>
          <w:tab w:val="clear" w:pos="720"/>
          <w:tab w:val="left" w:pos="1080" w:leader="none"/>
        </w:tabs>
        <w:ind w:hanging="360" w:start="1080" w:end="0"/>
        <w:rPr>
          <w:sz w:val="18"/>
        </w:rPr>
      </w:pPr>
      <w:r>
        <w:rPr>
          <w:sz w:val="18"/>
        </w:rPr>
        <w:t>Purchasing agent under performance-based compensation arrangement</w:t>
      </w:r>
    </w:p>
    <w:p>
      <w:pPr>
        <w:pStyle w:val="BodyTextIndent2"/>
        <w:numPr>
          <w:ilvl w:val="0"/>
          <w:numId w:val="16"/>
        </w:numPr>
        <w:tabs>
          <w:tab w:val="clear" w:pos="720"/>
          <w:tab w:val="left" w:pos="1080" w:leader="none"/>
        </w:tabs>
        <w:ind w:hanging="360" w:start="1080" w:end="0"/>
        <w:rPr>
          <w:sz w:val="18"/>
        </w:rPr>
      </w:pPr>
      <w:r>
        <w:rPr>
          <w:sz w:val="18"/>
        </w:rPr>
        <w:t>Key issues/risks needing to be considered and compensated for:  ICAP uncertainty, transmission congestion/locational pricing risk, increased ancillary service short and difficulty in covering, intra-day swing risk, external market activity</w:t>
      </w:r>
    </w:p>
    <w:p>
      <w:pPr>
        <w:pStyle w:val="BodyTextIndent2"/>
        <w:rPr>
          <w:sz w:val="18"/>
        </w:rPr>
      </w:pPr>
      <w:r>
        <w:rPr>
          <w:sz w:val="18"/>
        </w:rPr>
        <w:t>Key Target Customers: NSTAR, Central Maine Power, Bangor Hydro, New England Power/National Grid, potentially PSNH and other NU companies</w:t>
      </w:r>
    </w:p>
    <w:p>
      <w:pPr>
        <w:pStyle w:val="Normal"/>
        <w:jc w:val="both"/>
        <w:rPr>
          <w:b/>
          <w:i/>
          <w:i/>
          <w:sz w:val="18"/>
        </w:rPr>
      </w:pPr>
      <w:r>
        <w:rPr>
          <w:b/>
          <w:i/>
          <w:sz w:val="18"/>
        </w:rPr>
      </w:r>
    </w:p>
    <w:p>
      <w:pPr>
        <w:pStyle w:val="Normal"/>
        <w:numPr>
          <w:ilvl w:val="0"/>
          <w:numId w:val="3"/>
        </w:numPr>
        <w:tabs>
          <w:tab w:val="clear" w:pos="720"/>
        </w:tabs>
        <w:ind w:hanging="360" w:start="720" w:end="0"/>
        <w:jc w:val="both"/>
        <w:rPr>
          <w:b/>
          <w:i/>
          <w:i/>
          <w:sz w:val="18"/>
        </w:rPr>
      </w:pPr>
      <w:r>
        <w:rPr>
          <w:b/>
          <w:i/>
          <w:sz w:val="18"/>
        </w:rPr>
        <w:t>Municipal Utility Services</w:t>
      </w:r>
    </w:p>
    <w:p>
      <w:pPr>
        <w:pStyle w:val="Normal"/>
        <w:numPr>
          <w:ilvl w:val="0"/>
          <w:numId w:val="11"/>
        </w:numPr>
        <w:tabs>
          <w:tab w:val="left" w:pos="720" w:leader="none"/>
        </w:tabs>
        <w:ind w:hanging="360" w:start="720" w:end="0"/>
        <w:jc w:val="both"/>
        <w:rPr>
          <w:sz w:val="18"/>
        </w:rPr>
      </w:pPr>
      <w:r>
        <w:rPr>
          <w:sz w:val="18"/>
        </w:rPr>
        <w:t>Restructuring of muni supply contract portfolios – Many munis in NEPOOL have long-term all/partial requirements contracts with wholesale suppliers (most notably, NU/Select) at above market prices.  Some of these contracts have out provisions, which would enable Enron to offer replacement supplies at lower prices while being potential high margin for Enron</w:t>
      </w:r>
    </w:p>
    <w:p>
      <w:pPr>
        <w:pStyle w:val="Normal"/>
        <w:numPr>
          <w:ilvl w:val="0"/>
          <w:numId w:val="11"/>
        </w:numPr>
        <w:tabs>
          <w:tab w:val="left" w:pos="720" w:leader="none"/>
        </w:tabs>
        <w:ind w:hanging="360" w:start="720" w:end="0"/>
        <w:jc w:val="both"/>
        <w:rPr>
          <w:sz w:val="18"/>
        </w:rPr>
      </w:pPr>
      <w:r>
        <w:rPr>
          <w:sz w:val="18"/>
        </w:rPr>
        <w:t>Muni-owned generating asset management – some munis in NEPOOL own generation (typically smaller #2/kerosene jets) which probably are not right-sized for their systems.  Enron could potentially assume these assets into its portfolio and maximize their option value, while providing replacement power specifically tailored to the muni’s needs at a attractive fixed price.</w:t>
      </w:r>
    </w:p>
    <w:p>
      <w:pPr>
        <w:pStyle w:val="Normal"/>
        <w:numPr>
          <w:ilvl w:val="0"/>
          <w:numId w:val="11"/>
        </w:numPr>
        <w:tabs>
          <w:tab w:val="left" w:pos="720" w:leader="none"/>
        </w:tabs>
        <w:ind w:hanging="360" w:start="720" w:end="0"/>
        <w:jc w:val="both"/>
        <w:rPr>
          <w:sz w:val="18"/>
        </w:rPr>
      </w:pPr>
      <w:r>
        <w:rPr>
          <w:sz w:val="18"/>
        </w:rPr>
        <w:t>Promote EnronOnline – many munis are active in broker markets for standard products.  We should promote awareness of EnronOnline as an efficient, cost effective way for these munis to meet standard OTC needs</w:t>
      </w:r>
    </w:p>
    <w:p>
      <w:pPr>
        <w:pStyle w:val="Normal"/>
        <w:numPr>
          <w:ilvl w:val="0"/>
          <w:numId w:val="11"/>
        </w:numPr>
        <w:tabs>
          <w:tab w:val="left" w:pos="720" w:leader="none"/>
        </w:tabs>
        <w:ind w:hanging="360" w:start="720" w:end="0"/>
        <w:jc w:val="both"/>
        <w:rPr>
          <w:sz w:val="18"/>
        </w:rPr>
      </w:pPr>
      <w:r>
        <w:rPr>
          <w:sz w:val="18"/>
        </w:rPr>
        <w:t>Pooling multiple muni loads that might have diversification/economy of scale benefits</w:t>
      </w:r>
    </w:p>
    <w:p>
      <w:pPr>
        <w:pStyle w:val="Normal"/>
        <w:ind w:start="360" w:end="0"/>
        <w:jc w:val="both"/>
        <w:rPr>
          <w:sz w:val="18"/>
        </w:rPr>
      </w:pPr>
      <w:r>
        <w:rPr>
          <w:sz w:val="18"/>
        </w:rPr>
        <w:t>Key Target Customers: Taunton, Reading, Braintree, Holyoke, CMEEC, VPPSA, OMYA, MMWEC, Hudson, etc.</w:t>
      </w:r>
    </w:p>
    <w:p>
      <w:pPr>
        <w:pStyle w:val="Normal"/>
        <w:jc w:val="both"/>
        <w:rPr>
          <w:sz w:val="18"/>
        </w:rPr>
      </w:pPr>
      <w:r>
        <w:rPr>
          <w:sz w:val="18"/>
        </w:rPr>
      </w:r>
    </w:p>
    <w:p>
      <w:pPr>
        <w:pStyle w:val="Heading5"/>
        <w:rPr/>
      </w:pPr>
      <w:r>
        <w:rPr/>
        <w:t>SECOND-TIER OPPORTUNITIES</w:t>
      </w:r>
    </w:p>
    <w:p>
      <w:pPr>
        <w:pStyle w:val="Normal"/>
        <w:numPr>
          <w:ilvl w:val="0"/>
          <w:numId w:val="15"/>
        </w:numPr>
        <w:tabs>
          <w:tab w:val="left" w:pos="720" w:leader="none"/>
        </w:tabs>
        <w:ind w:hanging="360" w:start="720" w:end="0"/>
        <w:jc w:val="both"/>
        <w:rPr>
          <w:sz w:val="18"/>
        </w:rPr>
      </w:pPr>
      <w:r>
        <w:rPr>
          <w:b/>
          <w:i/>
          <w:sz w:val="18"/>
        </w:rPr>
        <w:t>Retail Aggregation Supply Services</w:t>
      </w:r>
      <w:r>
        <w:rPr>
          <w:sz w:val="18"/>
        </w:rPr>
        <w:t xml:space="preserve"> – not expected to be large near-term opportunity due to lack of customer migration; must monitor developments in this market segment. Can enter into structured supply arrangements with retail aggregators in which we (working with EES) can quote retail prices based on a variety of structures (e.g., load factor-based pricing, SIC code pricing, etc.)</w:t>
      </w:r>
    </w:p>
    <w:p>
      <w:pPr>
        <w:pStyle w:val="Normal"/>
        <w:numPr>
          <w:ilvl w:val="0"/>
          <w:numId w:val="15"/>
        </w:numPr>
        <w:tabs>
          <w:tab w:val="left" w:pos="720" w:leader="none"/>
        </w:tabs>
        <w:ind w:hanging="360" w:start="720" w:end="0"/>
        <w:jc w:val="both"/>
        <w:rPr>
          <w:b/>
          <w:i/>
          <w:i/>
          <w:sz w:val="18"/>
        </w:rPr>
      </w:pPr>
      <w:r>
        <w:rPr>
          <w:b/>
          <w:i/>
          <w:sz w:val="18"/>
        </w:rPr>
        <w:t>Distributed Generation/Dispatchable Load Arrangements</w:t>
      </w:r>
      <w:r>
        <w:rPr>
          <w:sz w:val="18"/>
        </w:rPr>
        <w:t xml:space="preserve"> – We should continue seeking selective opportunities to site distributed generation and/or subscribe dispatchable loads at strategic locations within NEPOOL to aid in management of risk in existing positions (e.g. UI, NSTAR)</w:t>
      </w:r>
    </w:p>
    <w:p>
      <w:pPr>
        <w:pStyle w:val="Normal"/>
        <w:numPr>
          <w:ilvl w:val="0"/>
          <w:numId w:val="15"/>
        </w:numPr>
        <w:tabs>
          <w:tab w:val="left" w:pos="720" w:leader="none"/>
        </w:tabs>
        <w:ind w:hanging="360" w:start="720" w:end="0"/>
        <w:jc w:val="both"/>
        <w:rPr>
          <w:sz w:val="18"/>
        </w:rPr>
      </w:pPr>
      <w:r>
        <w:rPr>
          <w:b/>
          <w:i/>
          <w:sz w:val="18"/>
        </w:rPr>
        <w:t xml:space="preserve">Trade with Quebec in Light of Firm Energy Contract Expiration – </w:t>
      </w:r>
      <w:r>
        <w:rPr>
          <w:sz w:val="18"/>
        </w:rPr>
        <w:t>Beginning September 2000, a 7+ TWh/year sales agreement from Hydro Quebec (HQ) to NEPOOL utilities will ramp down, with ~ 2.8 TWh expected to be delivered for 9/00-8/01 and then dropping to zero beyond 8/01.  This will free up significant transmission capacity from HQ to NEPOOL and HQ will be motivated to enter into new commercial arrangements to replace the expiring Firm Energy Contract.</w:t>
      </w:r>
    </w:p>
    <w:p>
      <w:pPr>
        <w:pStyle w:val="Normal"/>
        <w:numPr>
          <w:ilvl w:val="0"/>
          <w:numId w:val="17"/>
        </w:numPr>
        <w:tabs>
          <w:tab w:val="clear" w:pos="720"/>
          <w:tab w:val="left" w:pos="1080" w:leader="none"/>
        </w:tabs>
        <w:ind w:hanging="360" w:start="1080" w:end="0"/>
        <w:jc w:val="both"/>
        <w:rPr>
          <w:b/>
          <w:i/>
          <w:i/>
          <w:sz w:val="18"/>
        </w:rPr>
      </w:pPr>
      <w:r>
        <w:rPr>
          <w:sz w:val="18"/>
        </w:rPr>
        <w:t>Potential purchase from HQ of sculpted, intra-day products to offset intra-day swing risk inherent in UI and NSTAR full-requirements deals (HQ has significant storage capabilities in its predominantly hydro system)</w:t>
      </w:r>
    </w:p>
    <w:p>
      <w:pPr>
        <w:pStyle w:val="Normal"/>
        <w:numPr>
          <w:ilvl w:val="0"/>
          <w:numId w:val="17"/>
        </w:numPr>
        <w:tabs>
          <w:tab w:val="clear" w:pos="720"/>
          <w:tab w:val="left" w:pos="1080" w:leader="none"/>
        </w:tabs>
        <w:ind w:hanging="360" w:start="1080" w:end="0"/>
        <w:jc w:val="both"/>
        <w:rPr>
          <w:b/>
          <w:i/>
          <w:i/>
          <w:sz w:val="18"/>
        </w:rPr>
      </w:pPr>
      <w:r>
        <w:rPr>
          <w:sz w:val="18"/>
        </w:rPr>
        <w:t>Physical/financial energy banking deals with HQ – capturing seasonal diversity between winter peaking Quebec and summer peaking NEPOOL.  HQ can utilize its storage capabilities to facilitate such deals</w:t>
      </w:r>
    </w:p>
    <w:p>
      <w:pPr>
        <w:pStyle w:val="Normal"/>
        <w:numPr>
          <w:ilvl w:val="0"/>
          <w:numId w:val="17"/>
        </w:numPr>
        <w:tabs>
          <w:tab w:val="clear" w:pos="720"/>
          <w:tab w:val="left" w:pos="1080" w:leader="none"/>
        </w:tabs>
        <w:ind w:hanging="360" w:start="1080" w:end="0"/>
        <w:jc w:val="both"/>
        <w:rPr>
          <w:b/>
          <w:i/>
          <w:i/>
          <w:sz w:val="18"/>
        </w:rPr>
      </w:pPr>
      <w:r>
        <w:rPr>
          <w:sz w:val="18"/>
        </w:rPr>
        <w:t>Trading strategy with HQ should take into account their influence on NY, Ontario, and Canadian Maritimes markets as well</w:t>
      </w:r>
    </w:p>
    <w:p>
      <w:pPr>
        <w:pStyle w:val="BodyTextIndent3"/>
        <w:rPr/>
      </w:pPr>
      <w:r>
        <w:rPr/>
        <w:t>Potential issues:  high HQ-NEPOOL HVDC transmission rate is economic barrier (argue for roll-in to ISO-NE rate); HQ water storage levels rumored to be at all time lows</w:t>
      </w:r>
    </w:p>
    <w:p>
      <w:pPr>
        <w:pStyle w:val="BodyTextIndent3"/>
        <w:numPr>
          <w:ilvl w:val="0"/>
          <w:numId w:val="3"/>
        </w:numPr>
        <w:tabs>
          <w:tab w:val="left" w:pos="720" w:leader="none"/>
        </w:tabs>
        <w:ind w:hanging="360" w:start="720" w:end="0"/>
        <w:rPr/>
      </w:pPr>
      <w:r>
        <w:rPr>
          <w:b/>
        </w:rPr>
        <w:t>Physical plant development</w:t>
      </w:r>
      <w:r>
        <w:rPr/>
        <w:t xml:space="preserve"> – pursue selective opportunities for development (perhaps jointly) of physical generation resources in strategic locations.  Emphasis on peaking capacity due to likely overbuild of combined cycles.  May involve sale of equipment (LM6000’s), purchase of site, joint development with Enron charged with marketing, etc.</w:t>
      </w:r>
    </w:p>
    <w:p>
      <w:pPr>
        <w:pStyle w:val="BodyTextIndent3"/>
        <w:numPr>
          <w:ilvl w:val="0"/>
          <w:numId w:val="3"/>
        </w:numPr>
        <w:tabs>
          <w:tab w:val="left" w:pos="720" w:leader="none"/>
        </w:tabs>
        <w:ind w:hanging="360" w:start="720" w:end="0"/>
        <w:rPr/>
      </w:pPr>
      <w:r>
        <w:rPr>
          <w:b/>
        </w:rPr>
        <w:t>Green Credit Trading</w:t>
      </w:r>
      <w:r>
        <w:rPr/>
        <w:t xml:space="preserve"> – as renewable resource standards become more binding within the region, pursue opportunities to reap value of current physical renewable holdings (e.g., Bridgeport Resco) and perhaps pursue two-way opportunities in green credit trading.</w:t>
      </w:r>
    </w:p>
    <w:p>
      <w:pPr>
        <w:pStyle w:val="Normal"/>
        <w:jc w:val="both"/>
        <w:rPr>
          <w:sz w:val="18"/>
        </w:rPr>
      </w:pPr>
      <w:r>
        <w:rPr>
          <w:sz w:val="18"/>
        </w:rPr>
      </w:r>
    </w:p>
    <w:p>
      <w:pPr>
        <w:pStyle w:val="Heading4"/>
        <w:numPr>
          <w:ilvl w:val="0"/>
          <w:numId w:val="7"/>
        </w:numPr>
        <w:ind w:hanging="360" w:start="360" w:end="0"/>
        <w:rPr>
          <w:sz w:val="18"/>
        </w:rPr>
      </w:pPr>
      <w:r>
        <w:rPr>
          <w:sz w:val="18"/>
        </w:rPr>
        <w:t>Market Making Activities</w:t>
      </w:r>
    </w:p>
    <w:p>
      <w:pPr>
        <w:pStyle w:val="Normal"/>
        <w:numPr>
          <w:ilvl w:val="0"/>
          <w:numId w:val="14"/>
        </w:numPr>
        <w:tabs>
          <w:tab w:val="left" w:pos="720" w:leader="none"/>
        </w:tabs>
        <w:ind w:hanging="360" w:start="720" w:end="0"/>
        <w:jc w:val="both"/>
        <w:rPr>
          <w:sz w:val="18"/>
        </w:rPr>
      </w:pPr>
      <w:r>
        <w:rPr>
          <w:b/>
          <w:i/>
          <w:sz w:val="18"/>
        </w:rPr>
        <w:t>Bilateral/Forward Trading of Ancillary Products</w:t>
      </w:r>
      <w:r>
        <w:rPr>
          <w:sz w:val="18"/>
        </w:rPr>
        <w:t xml:space="preserve"> – in conjunction with lobbying for structural reform of these markets, work to encourage bilateral trading through education and proposing creative structured products that strike a balance between Enron’s desire to cover its ancillary position and suppliers’ reluctance to sell these products forward</w:t>
      </w:r>
    </w:p>
    <w:p>
      <w:pPr>
        <w:pStyle w:val="Normal"/>
        <w:numPr>
          <w:ilvl w:val="0"/>
          <w:numId w:val="14"/>
        </w:numPr>
        <w:tabs>
          <w:tab w:val="left" w:pos="720" w:leader="none"/>
        </w:tabs>
        <w:ind w:hanging="360" w:start="720" w:end="0"/>
        <w:jc w:val="both"/>
        <w:rPr>
          <w:sz w:val="18"/>
        </w:rPr>
      </w:pPr>
      <w:r>
        <w:rPr>
          <w:b/>
          <w:i/>
          <w:sz w:val="18"/>
        </w:rPr>
        <w:t>Intra-Day Markets</w:t>
      </w:r>
      <w:r>
        <w:rPr>
          <w:sz w:val="18"/>
        </w:rPr>
        <w:t xml:space="preserve"> – super-peak energy, shoulder period energy, etc.</w:t>
      </w:r>
    </w:p>
    <w:p>
      <w:pPr>
        <w:pStyle w:val="Normal"/>
        <w:numPr>
          <w:ilvl w:val="0"/>
          <w:numId w:val="14"/>
        </w:numPr>
        <w:tabs>
          <w:tab w:val="left" w:pos="720" w:leader="none"/>
        </w:tabs>
        <w:ind w:hanging="360" w:start="720" w:end="0"/>
        <w:jc w:val="both"/>
        <w:rPr>
          <w:b/>
          <w:i/>
          <w:i/>
          <w:sz w:val="18"/>
        </w:rPr>
      </w:pPr>
      <w:r>
        <w:rPr>
          <w:b/>
          <w:i/>
          <w:sz w:val="18"/>
        </w:rPr>
        <w:t>NEPOOL Market Hub and Basis Trading</w:t>
      </w:r>
      <w:r>
        <w:rPr>
          <w:sz w:val="18"/>
        </w:rPr>
        <w:t xml:space="preserve"> – we should work to create liquidity at logical market hub(s) and specific locations within NEPOOL taking into account our existing commercial positions (e.g. UI)</w:t>
      </w:r>
    </w:p>
    <w:p>
      <w:pPr>
        <w:pStyle w:val="Normal"/>
        <w:numPr>
          <w:ilvl w:val="0"/>
          <w:numId w:val="14"/>
        </w:numPr>
        <w:tabs>
          <w:tab w:val="left" w:pos="720" w:leader="none"/>
        </w:tabs>
        <w:ind w:hanging="360" w:start="720" w:end="0"/>
        <w:jc w:val="both"/>
        <w:rPr>
          <w:b/>
          <w:i/>
          <w:i/>
          <w:sz w:val="18"/>
        </w:rPr>
      </w:pPr>
      <w:r>
        <w:rPr>
          <w:b/>
          <w:i/>
          <w:sz w:val="18"/>
        </w:rPr>
        <w:t>Transmission Congestion Rights Trading</w:t>
      </w:r>
    </w:p>
    <w:p>
      <w:pPr>
        <w:pStyle w:val="Normal"/>
        <w:numPr>
          <w:ilvl w:val="0"/>
          <w:numId w:val="14"/>
        </w:numPr>
        <w:tabs>
          <w:tab w:val="left" w:pos="720" w:leader="none"/>
        </w:tabs>
        <w:ind w:hanging="360" w:start="720" w:end="0"/>
        <w:jc w:val="both"/>
        <w:rPr>
          <w:b/>
          <w:i/>
          <w:i/>
          <w:sz w:val="18"/>
        </w:rPr>
      </w:pPr>
      <w:r>
        <w:rPr>
          <w:b/>
          <w:i/>
          <w:sz w:val="18"/>
        </w:rPr>
        <w:t>Generator Outage Insurance Products</w:t>
      </w:r>
    </w:p>
    <w:p>
      <w:pPr>
        <w:pStyle w:val="Normal"/>
        <w:numPr>
          <w:ilvl w:val="0"/>
          <w:numId w:val="14"/>
        </w:numPr>
        <w:tabs>
          <w:tab w:val="left" w:pos="720" w:leader="none"/>
        </w:tabs>
        <w:ind w:hanging="360" w:start="720" w:end="0"/>
        <w:jc w:val="both"/>
        <w:rPr>
          <w:sz w:val="18"/>
        </w:rPr>
      </w:pPr>
      <w:r>
        <w:rPr>
          <w:b/>
          <w:i/>
          <w:sz w:val="18"/>
        </w:rPr>
        <w:t>Tradable Renewable Resource Credits</w:t>
      </w:r>
    </w:p>
    <w:p>
      <w:pPr>
        <w:pStyle w:val="Normal"/>
        <w:ind w:start="360" w:end="0"/>
        <w:jc w:val="both"/>
        <w:rPr>
          <w:i/>
          <w:i/>
          <w:sz w:val="18"/>
        </w:rPr>
      </w:pPr>
      <w:r>
        <w:rPr>
          <w:i/>
          <w:sz w:val="18"/>
        </w:rPr>
        <w:t>Perhaps embrace use of broker markets/RFPs as a means to enhance liquidity in some of the above products.</w:t>
      </w:r>
    </w:p>
    <w:p>
      <w:pPr>
        <w:pStyle w:val="Normal"/>
        <w:ind w:start="360" w:end="0"/>
        <w:jc w:val="both"/>
        <w:rPr>
          <w:i/>
          <w:i/>
          <w:sz w:val="18"/>
        </w:rPr>
      </w:pPr>
      <w:r>
        <w:rPr>
          <w:i/>
          <w:sz w:val="18"/>
        </w:rPr>
      </w:r>
    </w:p>
    <w:p>
      <w:pPr>
        <w:pStyle w:val="Heading4"/>
        <w:numPr>
          <w:ilvl w:val="0"/>
          <w:numId w:val="7"/>
        </w:numPr>
        <w:ind w:hanging="360" w:start="360" w:end="0"/>
        <w:rPr>
          <w:sz w:val="18"/>
        </w:rPr>
      </w:pPr>
      <w:r>
        <w:rPr>
          <w:sz w:val="18"/>
        </w:rPr>
        <w:t>Resource Requirements</w:t>
      </w:r>
    </w:p>
    <w:p>
      <w:pPr>
        <w:pStyle w:val="Normal"/>
        <w:numPr>
          <w:ilvl w:val="0"/>
          <w:numId w:val="9"/>
        </w:numPr>
        <w:tabs>
          <w:tab w:val="left" w:pos="720" w:leader="none"/>
        </w:tabs>
        <w:ind w:hanging="360" w:start="720" w:end="0"/>
        <w:jc w:val="both"/>
        <w:rPr>
          <w:b/>
          <w:i/>
          <w:i/>
          <w:sz w:val="18"/>
        </w:rPr>
      </w:pPr>
      <w:r>
        <w:rPr>
          <w:b/>
          <w:i/>
          <w:sz w:val="18"/>
        </w:rPr>
        <w:t>Research/Analytical Needs</w:t>
      </w:r>
    </w:p>
    <w:p>
      <w:pPr>
        <w:pStyle w:val="Normal"/>
        <w:numPr>
          <w:ilvl w:val="0"/>
          <w:numId w:val="10"/>
        </w:numPr>
        <w:tabs>
          <w:tab w:val="left" w:pos="720" w:leader="none"/>
        </w:tabs>
        <w:ind w:hanging="360" w:start="720" w:end="0"/>
        <w:jc w:val="both"/>
        <w:rPr>
          <w:sz w:val="18"/>
        </w:rPr>
      </w:pPr>
      <w:r>
        <w:rPr>
          <w:sz w:val="18"/>
        </w:rPr>
        <w:t>Better up-to-date market intelligence on timing/status of new generation</w:t>
      </w:r>
    </w:p>
    <w:p>
      <w:pPr>
        <w:pStyle w:val="Normal"/>
        <w:numPr>
          <w:ilvl w:val="0"/>
          <w:numId w:val="10"/>
        </w:numPr>
        <w:tabs>
          <w:tab w:val="left" w:pos="720" w:leader="none"/>
        </w:tabs>
        <w:ind w:hanging="360" w:start="720" w:end="0"/>
        <w:jc w:val="both"/>
        <w:rPr>
          <w:sz w:val="18"/>
        </w:rPr>
      </w:pPr>
      <w:r>
        <w:rPr>
          <w:sz w:val="18"/>
        </w:rPr>
        <w:t>Improved analytical research on ancillary service clearing price dynamics (e.g., correlation with energy prices, demand, supply availability, etc.)</w:t>
      </w:r>
    </w:p>
    <w:p>
      <w:pPr>
        <w:pStyle w:val="Normal"/>
        <w:numPr>
          <w:ilvl w:val="0"/>
          <w:numId w:val="10"/>
        </w:numPr>
        <w:tabs>
          <w:tab w:val="left" w:pos="720" w:leader="none"/>
        </w:tabs>
        <w:ind w:hanging="360" w:start="720" w:end="0"/>
        <w:jc w:val="both"/>
        <w:rPr>
          <w:sz w:val="18"/>
        </w:rPr>
      </w:pPr>
      <w:r>
        <w:rPr>
          <w:sz w:val="18"/>
        </w:rPr>
        <w:t>Improved analytical tools/methods to quantify appropriate price discounts when considering unit-contingent deals, as well as devising more systematic plans/approaches for covering unit-contingent risks</w:t>
      </w:r>
    </w:p>
    <w:p>
      <w:pPr>
        <w:pStyle w:val="Normal"/>
        <w:numPr>
          <w:ilvl w:val="0"/>
          <w:numId w:val="10"/>
        </w:numPr>
        <w:tabs>
          <w:tab w:val="left" w:pos="720" w:leader="none"/>
        </w:tabs>
        <w:ind w:hanging="360" w:start="720" w:end="0"/>
        <w:jc w:val="both"/>
        <w:rPr>
          <w:sz w:val="18"/>
        </w:rPr>
      </w:pPr>
      <w:r>
        <w:rPr>
          <w:sz w:val="18"/>
        </w:rPr>
        <w:t>Enhanced models/assumptions to facilitate valuation of increasing number of hourly/intra-day deals for which our current models/assumptions are not ideally suited  (e.g., ability to capture detailed generating unit operating constraints and impact on value, assess need for hourly volatility assumptions, etc.)</w:t>
      </w:r>
    </w:p>
    <w:p>
      <w:pPr>
        <w:pStyle w:val="Normal"/>
        <w:numPr>
          <w:ilvl w:val="0"/>
          <w:numId w:val="10"/>
        </w:numPr>
        <w:tabs>
          <w:tab w:val="left" w:pos="720" w:leader="none"/>
        </w:tabs>
        <w:ind w:hanging="360" w:start="720" w:end="0"/>
        <w:jc w:val="both"/>
        <w:rPr>
          <w:sz w:val="18"/>
        </w:rPr>
      </w:pPr>
      <w:r>
        <w:rPr>
          <w:sz w:val="18"/>
        </w:rPr>
        <w:t>Better appreciation for operational procedures employed by ISO-NE and their impact on market clearing and settlement</w:t>
      </w:r>
    </w:p>
    <w:p>
      <w:pPr>
        <w:pStyle w:val="Normal"/>
        <w:numPr>
          <w:ilvl w:val="0"/>
          <w:numId w:val="10"/>
        </w:numPr>
        <w:tabs>
          <w:tab w:val="left" w:pos="720" w:leader="none"/>
        </w:tabs>
        <w:ind w:hanging="360" w:start="720" w:end="0"/>
        <w:jc w:val="both"/>
        <w:rPr>
          <w:sz w:val="18"/>
        </w:rPr>
      </w:pPr>
      <w:r>
        <w:rPr>
          <w:sz w:val="18"/>
        </w:rPr>
        <w:t>Begin to compile operational data/insights to shed light on potential frequency/timing/location of transmission constraints and attendant locational pricing impacts once CMS/MSS is implemented (targeted early 2002).  At minimum, we should build internal intelligence on supply and demand fundamentals within logical transmission zones based on anticipated constraints.  This information is imperative to begin to formulate assumptions regarding forward hub and basis prices within NEPOOL</w:t>
      </w:r>
    </w:p>
    <w:p>
      <w:pPr>
        <w:pStyle w:val="Normal"/>
        <w:numPr>
          <w:ilvl w:val="0"/>
          <w:numId w:val="10"/>
        </w:numPr>
        <w:tabs>
          <w:tab w:val="left" w:pos="720" w:leader="none"/>
        </w:tabs>
        <w:ind w:hanging="360" w:start="720" w:end="0"/>
        <w:jc w:val="both"/>
        <w:rPr>
          <w:sz w:val="18"/>
        </w:rPr>
      </w:pPr>
      <w:r>
        <w:rPr>
          <w:sz w:val="18"/>
        </w:rPr>
        <w:t>Continue to build/enhance generating unit operations database</w:t>
      </w:r>
    </w:p>
    <w:p>
      <w:pPr>
        <w:pStyle w:val="Normal"/>
        <w:numPr>
          <w:ilvl w:val="0"/>
          <w:numId w:val="9"/>
        </w:numPr>
        <w:tabs>
          <w:tab w:val="left" w:pos="720" w:leader="none"/>
        </w:tabs>
        <w:ind w:hanging="360" w:start="720" w:end="0"/>
        <w:jc w:val="both"/>
        <w:rPr>
          <w:sz w:val="18"/>
        </w:rPr>
      </w:pPr>
      <w:r>
        <w:rPr>
          <w:b/>
          <w:i/>
          <w:sz w:val="18"/>
        </w:rPr>
        <w:t>Personnel Needs</w:t>
      </w:r>
      <w:r>
        <w:rPr>
          <w:sz w:val="18"/>
        </w:rPr>
        <w:t xml:space="preserve"> – Recommend 1 associate devoted to NEPOOL activities initially, with reassessment in 6 months as to additional needs, if any;  Candidate should have extremely strong analytical and spreadsheet/database skills; ideally possess power experience and prior exposure to northeast power markets.</w:t>
      </w:r>
    </w:p>
    <w:p>
      <w:pPr>
        <w:pStyle w:val="Normal"/>
        <w:numPr>
          <w:ilvl w:val="0"/>
          <w:numId w:val="9"/>
        </w:numPr>
        <w:tabs>
          <w:tab w:val="left" w:pos="720" w:leader="none"/>
        </w:tabs>
        <w:ind w:hanging="360" w:start="720" w:end="0"/>
        <w:jc w:val="both"/>
        <w:rPr>
          <w:sz w:val="18"/>
        </w:rPr>
      </w:pPr>
      <w:r>
        <w:rPr>
          <w:b/>
          <w:i/>
          <w:sz w:val="18"/>
        </w:rPr>
        <w:t xml:space="preserve">Other – </w:t>
      </w:r>
      <w:r>
        <w:rPr>
          <w:sz w:val="18"/>
        </w:rPr>
        <w:t>Review list of NEPOOL counter-parties with whom we have necessary master agreements in place;  work to fill voids with any key counter-parties with whom we do not currently have masters in place (EEI master whenever possible), including appropriate credit reviews</w:t>
      </w:r>
    </w:p>
    <w:p>
      <w:pPr>
        <w:pStyle w:val="Normal"/>
        <w:jc w:val="both"/>
        <w:rPr>
          <w:sz w:val="18"/>
        </w:rPr>
      </w:pPr>
      <w:r>
        <w:rPr>
          <w:sz w:val="18"/>
        </w:rPr>
      </w:r>
    </w:p>
    <w:p>
      <w:pPr>
        <w:pStyle w:val="Heading1"/>
        <w:ind w:hanging="0" w:start="0"/>
        <w:jc w:val="both"/>
        <w:rPr>
          <w:sz w:val="18"/>
          <w:u w:val="single"/>
        </w:rPr>
      </w:pPr>
      <w:r>
        <w:rPr>
          <w:sz w:val="18"/>
          <w:u w:val="single"/>
        </w:rPr>
        <w:t>Account Coverage</w:t>
      </w:r>
    </w:p>
    <w:p>
      <w:pPr>
        <w:pStyle w:val="Normal"/>
        <w:jc w:val="both"/>
        <w:rPr>
          <w:sz w:val="18"/>
        </w:rPr>
      </w:pPr>
      <w:r>
        <w:rPr>
          <w:sz w:val="18"/>
        </w:rPr>
        <w:t>Account listing and assignment of responsibility attached.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decimal"/>
      <w:lvlText w:val="%1."/>
      <w:lvlJc w:val="start"/>
      <w:pPr>
        <w:tabs>
          <w:tab w:val="num" w:pos="360"/>
        </w:tabs>
        <w:ind w:start="360" w:hanging="360"/>
      </w:pPr>
      <w:rPr>
        <w:i w:val="false"/>
        <w:b/>
      </w:rPr>
    </w:lvl>
  </w:abstractNum>
  <w:abstractNum w:abstractNumId="4">
    <w:lvl w:ilvl="0">
      <w:start w:val="1"/>
      <w:numFmt w:val="decimal"/>
      <w:lvlText w:val="%1."/>
      <w:lvlJc w:val="start"/>
      <w:pPr>
        <w:tabs>
          <w:tab w:val="num" w:pos="360"/>
        </w:tabs>
        <w:ind w:start="360" w:hanging="360"/>
      </w:pPr>
      <w:rPr>
        <w:i w:val="false"/>
        <w:b/>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upperLetter"/>
      <w:lvlText w:val="%1."/>
      <w:lvlJc w:val="start"/>
      <w:pPr>
        <w:tabs>
          <w:tab w:val="num" w:pos="1080"/>
        </w:tabs>
        <w:ind w:start="1080" w:hanging="360"/>
      </w:pPr>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decimal"/>
      <w:lvlText w:val="%1."/>
      <w:lvlJc w:val="start"/>
      <w:pPr>
        <w:tabs>
          <w:tab w:val="num" w:pos="360"/>
        </w:tabs>
        <w:ind w:start="360" w:hanging="360"/>
      </w:pPr>
      <w:rPr>
        <w:i w:val="false"/>
        <w:b/>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upperLetter"/>
      <w:lvlText w:val="%1."/>
      <w:lvlJc w:val="start"/>
      <w:pPr>
        <w:tabs>
          <w:tab w:val="num" w:pos="1080"/>
        </w:tabs>
        <w:ind w:start="1080" w:hanging="360"/>
      </w:pPr>
      <w:rPr>
        <w:i w:val="false"/>
        <w:b/>
      </w:rPr>
    </w:lvl>
  </w:abstractNum>
  <w:abstractNum w:abstractNumId="14">
    <w:lvl w:ilvl="0">
      <w:start w:val="1"/>
      <w:numFmt w:val="decimal"/>
      <w:lvlText w:val="%1."/>
      <w:lvlJc w:val="start"/>
      <w:pPr>
        <w:tabs>
          <w:tab w:val="num" w:pos="360"/>
        </w:tabs>
        <w:ind w:start="360" w:hanging="360"/>
      </w:pPr>
      <w:rPr>
        <w:i w:val="false"/>
        <w:b/>
      </w:rPr>
    </w:lvl>
  </w:abstractNum>
  <w:abstractNum w:abstractNumId="15">
    <w:lvl w:ilvl="0">
      <w:start w:val="1"/>
      <w:numFmt w:val="decimal"/>
      <w:lvlText w:val="%1."/>
      <w:lvlJc w:val="start"/>
      <w:pPr>
        <w:tabs>
          <w:tab w:val="num" w:pos="360"/>
        </w:tabs>
        <w:ind w:start="360" w:hanging="360"/>
      </w:pPr>
      <w:rPr>
        <w:i w:val="false"/>
        <w:b/>
      </w:rPr>
    </w:lvl>
  </w:abstractNum>
  <w:abstractNum w:abstractNumId="16">
    <w:lvl w:ilvl="0">
      <w:start w:val="1"/>
      <w:numFmt w:val="bullet"/>
      <w:lvlText w:val=""/>
      <w:lvlJc w:val="start"/>
      <w:pPr>
        <w:tabs>
          <w:tab w:val="num" w:pos="360"/>
        </w:tabs>
        <w:ind w:start="360" w:hanging="360"/>
      </w:pPr>
      <w:rPr>
        <w:rFonts w:ascii="Wingdings" w:hAnsi="Wingdings" w:cs="Wingdings" w:hint="default"/>
      </w:rPr>
    </w:lvl>
  </w:abstractNum>
  <w:abstractNum w:abstractNumId="17">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jc w:val="center"/>
      <w:outlineLvl w:val="1"/>
    </w:pPr>
    <w:rPr>
      <w:b/>
      <w:sz w:val="24"/>
    </w:rPr>
  </w:style>
  <w:style w:type="paragraph" w:styleId="Heading3">
    <w:name w:val="heading 3"/>
    <w:basedOn w:val="Normal"/>
    <w:next w:val="Normal"/>
    <w:qFormat/>
    <w:pPr>
      <w:keepNext w:val="true"/>
      <w:outlineLvl w:val="2"/>
    </w:pPr>
    <w:rPr>
      <w:b/>
      <w:sz w:val="24"/>
    </w:rPr>
  </w:style>
  <w:style w:type="paragraph" w:styleId="Heading4">
    <w:name w:val="heading 4"/>
    <w:basedOn w:val="Normal"/>
    <w:next w:val="Normal"/>
    <w:qFormat/>
    <w:pPr>
      <w:keepNext w:val="true"/>
      <w:numPr>
        <w:ilvl w:val="0"/>
        <w:numId w:val="13"/>
      </w:numPr>
      <w:tabs>
        <w:tab w:val="clear" w:pos="720"/>
      </w:tabs>
      <w:ind w:hanging="0" w:start="360" w:end="0"/>
      <w:jc w:val="both"/>
      <w:outlineLvl w:val="3"/>
    </w:pPr>
    <w:rPr>
      <w:b/>
    </w:rPr>
  </w:style>
  <w:style w:type="paragraph" w:styleId="Heading5">
    <w:name w:val="heading 5"/>
    <w:basedOn w:val="Normal"/>
    <w:next w:val="Normal"/>
    <w:qFormat/>
    <w:pPr>
      <w:keepNext w:val="true"/>
      <w:jc w:val="both"/>
      <w:outlineLvl w:val="4"/>
    </w:pPr>
    <w:rPr>
      <w:b/>
      <w:sz w:val="18"/>
      <w:u w:val="single"/>
    </w:rPr>
  </w:style>
  <w:style w:type="character" w:styleId="WW8Num1z0">
    <w:name w:val="WW8Num1z0"/>
    <w:qFormat/>
    <w:rPr>
      <w:rFonts w:ascii="Wingdings" w:hAnsi="Wingdings" w:cs="Wingdings"/>
    </w:rPr>
  </w:style>
  <w:style w:type="character" w:styleId="WW8Num2z0">
    <w:name w:val="WW8Num2z0"/>
    <w:qFormat/>
    <w:rPr>
      <w:b/>
      <w:i w:val="false"/>
    </w:rPr>
  </w:style>
  <w:style w:type="character" w:styleId="WW8Num3z0">
    <w:name w:val="WW8Num3z0"/>
    <w:qFormat/>
    <w:rPr>
      <w:b/>
      <w:i w:val="false"/>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b/>
      <w:i w:val="false"/>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b/>
      <w:i w:val="false"/>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b/>
      <w:i w:val="false"/>
    </w:rPr>
  </w:style>
  <w:style w:type="character" w:styleId="WW8Num19z0">
    <w:name w:val="WW8Num19z0"/>
    <w:qFormat/>
    <w:rPr>
      <w:rFonts w:ascii="Wingdings" w:hAnsi="Wingdings" w:cs="Wingdings"/>
    </w:rPr>
  </w:style>
  <w:style w:type="character" w:styleId="WW8Num20z0">
    <w:name w:val="WW8Num20z0"/>
    <w:qFormat/>
    <w:rPr>
      <w:b/>
      <w:i w:val="false"/>
    </w:rPr>
  </w:style>
  <w:style w:type="character" w:styleId="WW8Num21z0">
    <w:name w:val="WW8Num21z0"/>
    <w:qFormat/>
    <w:rPr>
      <w:rFonts w:ascii="Times New Roman" w:hAnsi="Times New Roman" w:cs="Times New Roman"/>
    </w:rPr>
  </w:style>
  <w:style w:type="character" w:styleId="WW8Num22z0">
    <w:name w:val="WW8Num22z0"/>
    <w:qFormat/>
    <w:rPr>
      <w:rFonts w:ascii="Wingdings" w:hAnsi="Wingdings" w:cs="Wingdings"/>
    </w:rPr>
  </w:style>
  <w:style w:type="character" w:styleId="WW8Num23z0">
    <w:name w:val="WW8Num23z0"/>
    <w:qFormat/>
    <w:rPr/>
  </w:style>
  <w:style w:type="character" w:styleId="WW8Num25z0">
    <w:name w:val="WW8Num25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2"/>
    </w:rPr>
  </w:style>
  <w:style w:type="paragraph" w:styleId="BodyText">
    <w:name w:val="Body Text"/>
    <w:basedOn w:val="Normal"/>
    <w:pPr>
      <w:spacing w:lineRule="atLeast" w:line="180" w:before="0" w:after="220"/>
      <w:jc w:val="both"/>
    </w:pPr>
    <w:rPr>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900" w:start="1620" w:end="0"/>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720" w:end="0"/>
      <w:jc w:val="both"/>
    </w:pPr>
    <w:rPr>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2000-07-10T16:59:00Z</dcterms:created>
  <dc:creator>logistics</dc:creator>
  <dc:description/>
  <dc:language>en-CA</dc:language>
  <cp:lastModifiedBy>logistics</cp:lastModifiedBy>
  <cp:lastPrinted>2000-07-10T15:14:00Z</cp:lastPrinted>
  <dcterms:modified xsi:type="dcterms:W3CDTF">2000-07-10T17:51:00Z</dcterms:modified>
  <cp:revision>7</cp:revision>
  <dc:subject/>
  <dc:title>I</dc:title>
</cp:coreProperties>
</file>