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 xml:space="preserve">This Master Agreement is entered into as of ________________,  between </w:t>
      </w:r>
      <w:r>
        <w:rPr>
          <w:rFonts w:cs="Arial Narrow" w:ascii="Arial Narrow" w:hAnsi="Arial Narrow"/>
          <w:caps/>
          <w:sz w:val="18"/>
        </w:rPr>
        <w:t>_______________</w:t>
      </w:r>
      <w:r>
        <w:rPr>
          <w:rFonts w:cs="Arial Narrow" w:ascii="Arial Narrow" w:hAnsi="Arial Narrow"/>
          <w:sz w:val="18"/>
        </w:rPr>
        <w:t>__________</w:t>
      </w:r>
      <w:r>
        <w:rPr>
          <w:rFonts w:cs="Arial Narrow" w:ascii="Arial Narrow" w:hAnsi="Arial Narrow"/>
          <w:caps/>
          <w:sz w:val="18"/>
        </w:rPr>
        <w:t xml:space="preserve">__, </w:t>
      </w:r>
      <w:r>
        <w:rPr>
          <w:rFonts w:cs="Arial Narrow" w:ascii="Arial Narrow" w:hAnsi="Arial Narrow"/>
          <w:sz w:val="18"/>
        </w:rPr>
        <w:t>a _________ organised under the laws of ____________________ (hereinafter “</w:t>
      </w:r>
      <w:r>
        <w:rPr>
          <w:rFonts w:cs="Arial Narrow" w:ascii="Arial Narrow" w:hAnsi="Arial Narrow"/>
          <w:b/>
          <w:sz w:val="18"/>
        </w:rPr>
        <w:t>Party A</w:t>
      </w:r>
      <w:r>
        <w:rPr>
          <w:rFonts w:cs="Arial Narrow" w:ascii="Arial Narrow" w:hAnsi="Arial Narrow"/>
          <w:sz w:val="18"/>
        </w:rPr>
        <w:t xml:space="preserve">”) and </w:t>
      </w:r>
      <w:r>
        <w:rPr>
          <w:rFonts w:cs="Arial Narrow" w:ascii="Arial Narrow" w:hAnsi="Arial Narrow"/>
          <w:caps/>
          <w:sz w:val="18"/>
        </w:rPr>
        <w:t>_______________</w:t>
      </w:r>
      <w:r>
        <w:rPr>
          <w:rFonts w:cs="Arial Narrow" w:ascii="Arial Narrow" w:hAnsi="Arial Narrow"/>
          <w:sz w:val="18"/>
        </w:rPr>
        <w:t>________</w:t>
      </w:r>
      <w:r>
        <w:rPr>
          <w:rFonts w:cs="Arial Narrow" w:ascii="Arial Narrow" w:hAnsi="Arial Narrow"/>
          <w:caps/>
          <w:sz w:val="18"/>
        </w:rPr>
        <w:t>_</w:t>
      </w:r>
      <w:r>
        <w:rPr>
          <w:rFonts w:cs="Arial Narrow" w:ascii="Arial Narrow" w:hAnsi="Arial Narrow"/>
          <w:sz w:val="18"/>
        </w:rPr>
        <w:t>__</w:t>
      </w:r>
      <w:r>
        <w:rPr>
          <w:rFonts w:cs="Arial Narrow" w:ascii="Arial Narrow" w:hAnsi="Arial Narrow"/>
          <w:caps/>
          <w:sz w:val="18"/>
        </w:rPr>
        <w:t>_</w:t>
      </w:r>
      <w:r>
        <w:rPr>
          <w:rFonts w:cs="Arial Narrow" w:ascii="Arial Narrow" w:hAnsi="Arial Narrow"/>
          <w:sz w:val="18"/>
        </w:rPr>
        <w:t xml:space="preserve"> a _________</w:t>
      </w:r>
      <w:r>
        <w:rPr>
          <w:rFonts w:cs="Arial Narrow" w:ascii="Arial Narrow" w:hAnsi="Arial Narrow"/>
          <w:caps/>
          <w:sz w:val="18"/>
        </w:rPr>
        <w:t>_</w:t>
      </w:r>
      <w:r>
        <w:rPr>
          <w:rFonts w:cs="Arial Narrow" w:ascii="Arial Narrow" w:hAnsi="Arial Narrow"/>
          <w:sz w:val="18"/>
        </w:rPr>
        <w:t xml:space="preserve"> organised under the laws of ____________________ (hereinafter “</w:t>
      </w:r>
      <w:r>
        <w:rPr>
          <w:rFonts w:cs="Arial Narrow" w:ascii="Arial Narrow" w:hAnsi="Arial Narrow"/>
          <w:b/>
          <w:sz w:val="18"/>
        </w:rPr>
        <w:t>Party B</w:t>
      </w:r>
      <w:r>
        <w:rPr>
          <w:rFonts w:cs="Arial Narrow" w:ascii="Arial Narrow" w:hAnsi="Arial Narrow"/>
          <w:sz w:val="18"/>
        </w:rPr>
        <w:t>”).</w:t>
      </w:r>
      <w:r>
        <w:rPr/>
        <w:t xml:space="preserv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The parties have entered and/or anticipate entering into one or more cash-settled electricity derivatives transactions (each hereinafter a “</w:t>
      </w:r>
      <w:r>
        <w:rPr>
          <w:rFonts w:cs="Arial Narrow" w:ascii="Arial Narrow" w:hAnsi="Arial Narrow"/>
          <w:b/>
          <w:sz w:val="18"/>
        </w:rPr>
        <w:t>Transaction</w:t>
      </w:r>
      <w:r>
        <w:rPr>
          <w:rFonts w:cs="Arial Narrow" w:ascii="Arial Narrow" w:hAnsi="Arial Narrow"/>
          <w:sz w:val="18"/>
        </w:rPr>
        <w:t>”) that are or will be governed by this Master Agreement, which includes the schedule (hereinafter the “</w:t>
      </w:r>
      <w:r>
        <w:rPr>
          <w:rFonts w:cs="Arial Narrow" w:ascii="Arial Narrow" w:hAnsi="Arial Narrow"/>
          <w:b/>
          <w:sz w:val="18"/>
        </w:rPr>
        <w:t>Schedule</w:t>
      </w:r>
      <w:r>
        <w:rPr>
          <w:rFonts w:cs="Arial Narrow" w:ascii="Arial Narrow" w:hAnsi="Arial Narrow"/>
          <w:sz w:val="18"/>
        </w:rPr>
        <w:t>”), and the documents and other confirming evidence (each hereinafter a “</w:t>
      </w:r>
      <w:r>
        <w:rPr>
          <w:rFonts w:cs="Arial Narrow" w:ascii="Arial Narrow" w:hAnsi="Arial Narrow"/>
          <w:b/>
          <w:sz w:val="18"/>
        </w:rPr>
        <w:t>Confirmation</w:t>
      </w:r>
      <w:r>
        <w:rPr>
          <w:rFonts w:cs="Arial Narrow" w:ascii="Arial Narrow" w:hAnsi="Arial Narrow"/>
          <w:sz w:val="18"/>
        </w:rPr>
        <w:t xml:space="preserve">”) exchanged between the parties confirming those Transactions.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Party A and Party B hereby agree as follows: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1.</w:t>
        <w:tab/>
        <w:t>TRANSACTIONS</w:t>
      </w:r>
    </w:p>
    <w:p>
      <w:pPr>
        <w:pStyle w:val="BodyText2"/>
        <w:rPr/>
      </w:pPr>
      <w:r>
        <w:rPr>
          <w:rFonts w:cs="Arial Narrow" w:ascii="Arial Narrow" w:hAnsi="Arial Narrow"/>
        </w:rPr>
        <w:t>(a)</w:t>
        <w:tab/>
      </w:r>
      <w:r>
        <w:rPr>
          <w:rFonts w:cs="Arial Narrow" w:ascii="Arial Narrow" w:hAnsi="Arial Narrow"/>
          <w:b/>
          <w:i/>
        </w:rPr>
        <w:t>Procedures.</w:t>
      </w:r>
      <w:r>
        <w:rPr>
          <w:rFonts w:cs="Arial Narrow" w:ascii="Arial Narrow" w:hAnsi="Arial Narrow"/>
        </w:rPr>
        <w:t xml:space="preserve"> 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Each party agrees not to contest or assert (and hereby waives any right to) any defence as to the validity or enforceability of Transactions entered into by telephone on each date (hereinafter a “</w:t>
      </w:r>
      <w:r>
        <w:rPr>
          <w:rFonts w:cs="Arial Narrow" w:ascii="Arial Narrow" w:hAnsi="Arial Narrow"/>
          <w:b/>
        </w:rPr>
        <w:t>Trade Date</w:t>
      </w:r>
      <w:r>
        <w:rPr>
          <w:rFonts w:cs="Arial Narrow" w:ascii="Arial Narrow" w:hAnsi="Arial Narrow"/>
        </w:rPr>
        <w:t>”) in accordance with this Master Agreement or the authority of any employee to bind such party to Transactions entered into by telephone.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(b)</w:t>
        <w:tab/>
      </w:r>
      <w:r>
        <w:rPr>
          <w:rFonts w:cs="Arial Narrow" w:ascii="Arial Narrow" w:hAnsi="Arial Narrow"/>
          <w:b/>
          <w:i/>
          <w:sz w:val="18"/>
        </w:rPr>
        <w:t>Confirmations.</w:t>
      </w:r>
      <w:r>
        <w:rPr>
          <w:rFonts w:cs="Arial Narrow" w:ascii="Arial Narrow" w:hAnsi="Arial Narrow"/>
          <w:sz w:val="18"/>
        </w:rPr>
        <w:t xml:space="preserve"> A Confirmation shall be entered into in respect of each Transaction as soon as practicable and may be executed and delivered in counterparts (including by facsimile transmission or be created by an exchange of electronic messages on an electronic messaging system. All Transactions are entered into in reliance on the fact that this Master Agreement and all Confirmations form a single agreement between the parties (hereinafter collectively this "</w:t>
      </w:r>
      <w:r>
        <w:rPr>
          <w:rFonts w:cs="Arial Narrow" w:ascii="Arial Narrow" w:hAnsi="Arial Narrow"/>
          <w:b/>
          <w:sz w:val="18"/>
        </w:rPr>
        <w:t>Agreement</w:t>
      </w:r>
      <w:r>
        <w:rPr>
          <w:rFonts w:cs="Arial Narrow" w:ascii="Arial Narrow" w:hAnsi="Arial Narrow"/>
          <w:sz w:val="18"/>
        </w:rPr>
        <w:t>"), and the parties would not otherwise enter into any Transaction.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(c)</w:t>
        <w:tab/>
      </w:r>
      <w:r>
        <w:rPr>
          <w:rFonts w:cs="Arial Narrow" w:ascii="Arial Narrow" w:hAnsi="Arial Narrow"/>
          <w:b/>
          <w:i/>
          <w:sz w:val="18"/>
        </w:rPr>
        <w:t>Inconsistency.</w:t>
      </w:r>
      <w:r>
        <w:rPr>
          <w:rFonts w:cs="Arial Narrow" w:ascii="Arial Narrow" w:hAnsi="Arial Narrow"/>
          <w:sz w:val="18"/>
        </w:rPr>
        <w:t xml:space="preserve"> In the event of any inconsistency between the provisions of the Schedule and the other provisions of this Master Agreement, the Schedule shall prevail. In the event of any inconsistency between then provisions of any Confirmation and this Master Agreement (including the Schedule), such Confirmation shall prevail for the purpose of the relevant Transaction.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rPr>
      </w:pPr>
      <w:r>
        <w:rPr>
          <w:rFonts w:cs="Arial Narrow" w:ascii="Arial Narrow" w:hAnsi="Arial Narrow"/>
          <w:b/>
          <w:sz w:val="18"/>
        </w:rPr>
        <w:t>2.</w:t>
        <w:tab/>
        <w:t>OBLIGATIONS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w:t>
      </w:r>
      <w:r>
        <w:rPr>
          <w:rFonts w:cs="Arial Narrow" w:ascii="Arial Narrow" w:hAnsi="Arial Narrow"/>
          <w:b/>
          <w:sz w:val="18"/>
        </w:rPr>
        <w:tab/>
      </w:r>
      <w:r>
        <w:rPr>
          <w:rFonts w:cs="Arial Narrow" w:ascii="Arial Narrow" w:hAnsi="Arial Narrow"/>
          <w:b/>
          <w:i/>
          <w:sz w:val="18"/>
        </w:rPr>
        <w:t>Calculations and Payments</w:t>
      </w:r>
      <w:r>
        <w:rPr>
          <w:rFonts w:cs="Arial Narrow" w:ascii="Arial Narrow" w:hAnsi="Arial Narrow"/>
          <w:b/>
          <w:sz w:val="18"/>
        </w:rPr>
        <w:t>.</w:t>
      </w:r>
      <w:r>
        <w:rPr>
          <w:rFonts w:cs="Arial Narrow" w:ascii="Arial Narrow" w:hAnsi="Arial Narrow"/>
          <w:sz w:val="18"/>
        </w:rPr>
        <w:t xml:space="preserve"> For each Determination Period with respect to each Transaction, on the applicable Payment Date with respect to (i) a </w:t>
      </w:r>
      <w:r>
        <w:rPr>
          <w:rFonts w:cs="Arial Narrow" w:ascii="Arial Narrow" w:hAnsi="Arial Narrow"/>
          <w:sz w:val="18"/>
          <w:u w:val="single"/>
        </w:rPr>
        <w:t>SWAP,</w:t>
      </w:r>
      <w:r>
        <w:rPr>
          <w:rFonts w:cs="Arial Narrow" w:ascii="Arial Narrow" w:hAnsi="Arial Narrow"/>
          <w:sz w:val="18"/>
        </w:rPr>
        <w:t xml:space="preserve"> payment shall be made based upon the following settlement: For each hour in the Determination Period where the Floating Price is greater than the Fixed Price for that hour, the Floating Price Payer shall pay the Fixed Price Payer an amount equal to the Notional Quantity per hour multiplied by the difference between the Floating Price and the Fixed Price. For each hour in the Determination Period where the Floating Price is less than the Fixed Price for that hour, the Fixed Price Payer shall pay the Floating Price Payer an amount equal to the Notional Quantity per hour multiplied by the difference between the Fixed Price and the Floating Price. Promptly after the expiry of the relevant Determination Period, the Floating Price Payer shall calculate the aggregate amount owed by the Floating Price Payer to the Fixed Price Payer and the aggregate amount owed by the Fixed Price Payer to the Floating Price Payer. If the aggregate amount owed by the Floating Price Payer to the Fixed Price Payer is greater than the aggregate amount owed by the Fixed Price Payor to the Floating Price Payer, then the Floating Price Payer shall pay the difference of such amounts to the Buyer. If the aggregate amount owed Fixed Price Payer Buyer to the Floating Price Payer is greater that the aggregate amount owed by the Floating Price Payer to the Fixed Price Payer, then the Floating Price Payer shall notify the Buyer of such difference of such amounts and the Fixed Price Payer shall pay to the Floating Price Payer such difference; [(ii) an </w:t>
      </w:r>
      <w:r>
        <w:rPr>
          <w:rFonts w:cs="Arial Narrow" w:ascii="Arial Narrow" w:hAnsi="Arial Narrow"/>
          <w:sz w:val="18"/>
          <w:u w:val="single"/>
        </w:rPr>
        <w:t>OPTION</w:t>
      </w:r>
      <w:r>
        <w:rPr>
          <w:rFonts w:cs="Arial Narrow" w:ascii="Arial Narrow" w:hAnsi="Arial Narrow"/>
          <w:sz w:val="18"/>
        </w:rPr>
        <w:t xml:space="preserve"> (other than a Swaption and an Asian)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relevant Confirmation); otherwise the Option shall expire); (iii) a </w:t>
      </w:r>
      <w:r>
        <w:rPr>
          <w:rFonts w:cs="Arial Narrow" w:ascii="Arial Narrow" w:hAnsi="Arial Narrow"/>
          <w:caps/>
          <w:sz w:val="18"/>
          <w:u w:val="single"/>
        </w:rPr>
        <w:t>Collar</w:t>
      </w:r>
      <w:r>
        <w:rPr>
          <w:rFonts w:cs="Arial Narrow" w:ascii="Arial Narrow" w:hAnsi="Arial Narrow"/>
          <w:sz w:val="18"/>
        </w:rPr>
        <w:t xml:space="preserve">, (1) if the Floating Amount is greater than the Cap Amount, the Floating Price Payer will pay to the Fixed Price Payer the amount by which the Floating Amount exceeds the Cap Amount, and (ii) if the Floating Amount is less than the Floor Amount, the Fixed Price Payer shall pay to the Floating Price Payer the amount by which the Floating Amount is less than the Floor Amount]; (iv) a </w:t>
      </w:r>
      <w:r>
        <w:rPr>
          <w:rFonts w:cs="Arial Narrow" w:ascii="Arial Narrow" w:hAnsi="Arial Narrow"/>
          <w:caps/>
          <w:sz w:val="18"/>
          <w:u w:val="single"/>
        </w:rPr>
        <w:t xml:space="preserve">Swaption </w:t>
      </w:r>
      <w:r>
        <w:rPr>
          <w:rFonts w:cs="Arial Narrow" w:ascii="Arial Narrow" w:hAnsi="Arial Narrow"/>
          <w:sz w:val="18"/>
        </w:rPr>
        <w:t xml:space="preserve">that has been properly exercised by the Buyer, all payments payable under the Underlying Transaction shall be made by the relevant party in the manner specified for a Swap in this Section (Buyer shall exercise the Swaption in accordance with the Option procedures); and (v) an </w:t>
      </w:r>
      <w:r>
        <w:rPr>
          <w:rFonts w:cs="Arial Narrow" w:ascii="Arial Narrow" w:hAnsi="Arial Narrow"/>
          <w:sz w:val="18"/>
          <w:u w:val="single"/>
        </w:rPr>
        <w:t>ASIAN,</w:t>
      </w:r>
      <w:r>
        <w:rPr>
          <w:rFonts w:cs="Arial Narrow" w:ascii="Arial Narrow" w:hAnsi="Arial Narrow"/>
          <w:sz w:val="18"/>
        </w:rPr>
        <w:t xml:space="preserve"> the Seller shall pay the Buyer the Cash Settlement Amount (if any) for the relevant Determination Period; (vi) the total </w:t>
      </w:r>
      <w:r>
        <w:rPr>
          <w:rFonts w:cs="Arial Narrow" w:ascii="Arial Narrow" w:hAnsi="Arial Narrow"/>
          <w:caps/>
          <w:sz w:val="18"/>
          <w:u w:val="single"/>
        </w:rPr>
        <w:t>Premium</w:t>
      </w:r>
      <w:r>
        <w:rPr>
          <w:rFonts w:cs="Arial Narrow" w:ascii="Arial Narrow" w:hAnsi="Arial Narrow"/>
          <w:sz w:val="18"/>
        </w:rPr>
        <w:t xml:space="preserve"> (if any) for an Option, Collar, Swaption or Asian, the total Premium is due and payable by the Buyer [or Premium Payor (as the case may be)] to the other party on the Premium Payment Date(s).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(b)</w:t>
        <w:tab/>
      </w:r>
      <w:r>
        <w:rPr>
          <w:rFonts w:cs="Arial Narrow" w:ascii="Arial Narrow" w:hAnsi="Arial Narrow"/>
          <w:b/>
          <w:i/>
          <w:sz w:val="18"/>
        </w:rPr>
        <w:t>Contractual Currency.</w:t>
      </w:r>
      <w:r>
        <w:rPr>
          <w:rFonts w:cs="Arial Narrow" w:ascii="Arial Narrow" w:hAnsi="Arial Narrow"/>
          <w:sz w:val="18"/>
        </w:rPr>
        <w:t xml:space="preserve"> Each payment will be made in the Contractual Currency (specified in a Confirmation or, if not so specified, in [Euros]) without deduction (subject to Section 2(e)), setoff or counterclaim in immediately available funds on the relevant Payment Date (or if not a Business Day, on the next Business Day). Except as otherwise expressly provided in Section 6, each payment obligation of each party under a Transaction is subject to (i) the condition precedent that no Event of Default or event which, with the giving of notice or the lapse of time or both, would constitute an Event of Default with respect to the other party has occurred and is continuing, (ii) the condition precedent that no Early Termination Date or Accelerated Termination Date in respect of the relevant Transaction has occurred or been effectively designated, (iii) the condition precedent that no Market Disruption Event in respect of the relevant Transaction has occurred and is continuing that is not otherwise resolved under the terms of Section 4, and (iv) each other applicable condition precedent to payment specified in this Agreement; provided, however, that the condition precedent set forth in (i)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360 days.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(c)</w:t>
        <w:tab/>
      </w:r>
      <w:r>
        <w:rPr>
          <w:rFonts w:cs="Arial Narrow" w:ascii="Arial Narrow" w:hAnsi="Arial Narrow"/>
          <w:b/>
          <w:i/>
          <w:sz w:val="18"/>
        </w:rPr>
        <w:t>Payment Netting.</w:t>
      </w:r>
      <w:r>
        <w:rPr>
          <w:rFonts w:cs="Arial Narrow" w:ascii="Arial Narrow" w:hAnsi="Arial Narrow"/>
          <w:sz w:val="18"/>
        </w:rPr>
        <w:t xml:space="preserve">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(d)</w:t>
        <w:tab/>
      </w:r>
      <w:r>
        <w:rPr>
          <w:rFonts w:cs="Arial Narrow" w:ascii="Arial Narrow" w:hAnsi="Arial Narrow"/>
          <w:b/>
          <w:i/>
          <w:sz w:val="18"/>
        </w:rPr>
        <w:t>Specified Information</w:t>
      </w:r>
      <w:r>
        <w:rPr>
          <w:rFonts w:cs="Arial Narrow" w:ascii="Arial Narrow" w:hAnsi="Arial Narrow"/>
          <w:sz w:val="18"/>
        </w:rPr>
        <w:t xml:space="preserve"> Each party agrees to complete (accurately in a manner reasonably satisfactory to the other party), execute, arrange for any required certification of, and deliver to the other party or such government or taxing authority as the other party directs, any form or document that may be required or reasonably requested in order to allow the other party to make or receive a payment under this Agreement without any deduction or withholding for or on account of any Tax or with such deduction or withholding at a reduced rate, promptly upon the earlier of: (i) reasonable demand by the other party and (ii) learning that the form or document is required.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(e)</w:t>
        <w:tab/>
      </w:r>
      <w:r>
        <w:rPr>
          <w:rFonts w:cs="Arial Narrow" w:ascii="Arial Narrow" w:hAnsi="Arial Narrow"/>
          <w:b/>
          <w:i/>
          <w:sz w:val="18"/>
        </w:rPr>
        <w:t>Tax.</w:t>
      </w:r>
      <w:r>
        <w:rPr>
          <w:rFonts w:cs="Arial Narrow" w:ascii="Arial Narrow" w:hAnsi="Arial Narrow"/>
          <w:sz w:val="18"/>
        </w:rPr>
        <w:t xml:space="preserve"> If either party (hereinafter the “</w:t>
      </w:r>
      <w:r>
        <w:rPr>
          <w:rFonts w:cs="Arial Narrow" w:ascii="Arial Narrow" w:hAnsi="Arial Narrow"/>
          <w:b/>
          <w:sz w:val="18"/>
        </w:rPr>
        <w:t>affected party</w:t>
      </w:r>
      <w:r>
        <w:rPr>
          <w:rFonts w:cs="Arial Narrow" w:ascii="Arial Narrow" w:hAnsi="Arial Narrow"/>
          <w:sz w:val="18"/>
        </w:rPr>
        <w:t>”), is required at any time by the laws of any relevant jurisdiction to make any deduction or withholding for or on account of tax in relation to any payment made or falling to be made by it under any Transaction, then the affected party shall be required to increase the amount of its payment to the extent necessary to ensure that the amount received by the other party is not less than the amount it would have received had the deduction or withholding not been required, provided that the other party shall not be entitled to require the affected party to increase the amount of its payment in respect of any such withholding or deduction if and to the extent that the same is an Indemnifiable Tax. For these purposes, “</w:t>
      </w:r>
      <w:r>
        <w:rPr>
          <w:rFonts w:cs="Arial Narrow" w:ascii="Arial Narrow" w:hAnsi="Arial Narrow"/>
          <w:b/>
          <w:sz w:val="18"/>
        </w:rPr>
        <w:t>relevant jurisdiction</w:t>
      </w:r>
      <w:r>
        <w:rPr>
          <w:rFonts w:cs="Arial Narrow" w:ascii="Arial Narrow" w:hAnsi="Arial Narrow"/>
          <w:sz w:val="18"/>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r>
        <w:rPr>
          <w:rFonts w:cs="Times New Roman" w:ascii="Times New Roman" w:hAnsi="Times New Roman"/>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u w:val="single"/>
        </w:rPr>
      </w:pPr>
      <w:r>
        <w:rPr>
          <w:rFonts w:cs="Arial Narrow" w:ascii="Arial Narrow" w:hAnsi="Arial Narrow"/>
          <w:b/>
          <w:sz w:val="18"/>
        </w:rPr>
        <w:t>3.</w:t>
        <w:tab/>
        <w:t>REPRESENTATIONS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On the date hereof, on the date of entering into each Confirmation, and on the Trade Date of each Transaction, each of Party B and Party A represents and warrants to the other with respect to itself, that (a) (</w:t>
      </w:r>
      <w:r>
        <w:rPr>
          <w:rFonts w:cs="Arial Narrow" w:ascii="Arial Narrow" w:hAnsi="Arial Narrow"/>
          <w:b/>
          <w:i/>
          <w:sz w:val="18"/>
        </w:rPr>
        <w:t>Authority</w:t>
      </w:r>
      <w:r>
        <w:rPr>
          <w:rFonts w:cs="Arial Narrow" w:ascii="Arial Narrow" w:hAnsi="Arial Narrow"/>
          <w:sz w:val="18"/>
        </w:rPr>
        <w:t>) (i) the execution, delivery and performance of this Agreement have been duly authorised by all necessary corporate or other organisation action on its part and such execution, delivery and performance do not violate or conflict with any law applicable to it, any provisions of its constitutional documents, or any government order judgement applicable to it, and (ii) this Agreement is its legally valid and binding obligation, enforceable against it in accordance with its terms; and (b) (</w:t>
      </w:r>
      <w:r>
        <w:rPr>
          <w:rFonts w:cs="Arial Narrow" w:ascii="Arial Narrow" w:hAnsi="Arial Narrow"/>
          <w:b/>
          <w:i/>
          <w:sz w:val="18"/>
        </w:rPr>
        <w:t>No Reliance</w:t>
      </w:r>
      <w:r>
        <w:rPr>
          <w:rFonts w:cs="Arial Narrow" w:ascii="Arial Narrow" w:hAnsi="Arial Narrow"/>
          <w:sz w:val="18"/>
        </w:rPr>
        <w:t>) (i) the other party to this Agreement (1) is not acting as a fiduciary or financial, investment or commodity trading advisor for it, and (2) has not given to it (directly or indirectly through any other person) any assurance, guaranty or representation whatsoever as to the merits (either legal, regulatory, tax, commercial, financial, accounting or otherwise) of this  Agreement or the expected performance or result of any Transaction; and (ii) in connection with the negotiation and execution of this Agreement and the entering into of each Transaction, (1) it is acting as a principal only (and not as an agent or in any other capacity, fiduciary or otherwise), (2) it is not relying upon any advice or representations (whether written or oral) of the other party other than the representations expressly set out in this Agreement, (3) it has made and will make its own decisions regarding the entering into of this Agreement and each Transaction based upon its own judgement and upon the advice from such professional advisors as it deemed, or will deem, necessary to consult, (4) all of its decisions regarding this Agreement have been the result of arm’s-length negotiations between the parties, and (5) it has a full understanding of all the terms, conditions and risks (economic and otherwise) of this Agreement and each Transaction and it is capable of assuming and willing to assume (financially and otherwise) those risks. (c) [</w:t>
      </w:r>
      <w:r>
        <w:rPr>
          <w:rFonts w:cs="Arial Narrow" w:ascii="Arial Narrow" w:hAnsi="Arial Narrow"/>
          <w:b/>
          <w:i/>
          <w:sz w:val="18"/>
        </w:rPr>
        <w:t>Changes in Representation</w:t>
      </w:r>
      <w:r>
        <w:rPr>
          <w:rFonts w:cs="Arial Narrow" w:ascii="Arial Narrow" w:hAnsi="Arial Narrow"/>
          <w:sz w:val="18"/>
        </w:rPr>
        <w:t>: If any representation made in this Section 3 becomes untrue or inaccurate during the term of this Agreement, the party whose representation has changed shall promptly give the other party written notice of such change.]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u w:val="single"/>
        </w:rPr>
      </w:pPr>
      <w:r>
        <w:rPr>
          <w:rFonts w:cs="Arial Narrow" w:ascii="Arial Narrow" w:hAnsi="Arial Narrow"/>
          <w:b/>
          <w:sz w:val="18"/>
        </w:rPr>
        <w:t>4.</w:t>
        <w:tab/>
        <w:t>MARKET DISRUPTION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 xml:space="preserve">If a Market Disruption Event has occurred and is continuing on any Trading Day, the Floating Price for such Trading Day (or affected hours of trading on such Trading Day) 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each party obtaining quotes from two (2) leading dealers in the relevant market and averaging the two quotes remaining after eliminating the highest and lowest of such quotes.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5.</w:t>
        <w:tab/>
        <w:t>EVENTS OF DEFAULT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An event of default (hereinafter an “</w:t>
      </w:r>
      <w:r>
        <w:rPr>
          <w:rFonts w:cs="Arial Narrow" w:ascii="Arial Narrow" w:hAnsi="Arial Narrow"/>
          <w:b/>
          <w:sz w:val="18"/>
        </w:rPr>
        <w:t>Event of Default</w:t>
      </w:r>
      <w:r>
        <w:rPr>
          <w:rFonts w:cs="Arial Narrow" w:ascii="Arial Narrow" w:hAnsi="Arial Narrow"/>
          <w:sz w:val="18"/>
        </w:rPr>
        <w:t>”) shall mean with respect to a party or, if applicable, the Credit Support Provider, if any, of such party any of the following:- (a) (</w:t>
      </w:r>
      <w:r>
        <w:rPr>
          <w:rFonts w:cs="Arial Narrow" w:ascii="Arial Narrow" w:hAnsi="Arial Narrow"/>
          <w:b/>
          <w:i/>
          <w:sz w:val="18"/>
        </w:rPr>
        <w:t>Failure to Pay</w:t>
      </w:r>
      <w:r>
        <w:rPr>
          <w:rFonts w:cs="Arial Narrow" w:ascii="Arial Narrow" w:hAnsi="Arial Narrow"/>
          <w:sz w:val="18"/>
        </w:rPr>
        <w:t>) the failure by the party to make, when due, any payment required under this Agreement if such failure is not remedied within three (3) Business Days after notice of such failure is given to the party; (b) (</w:t>
      </w:r>
      <w:r>
        <w:rPr>
          <w:rFonts w:cs="Arial Narrow" w:ascii="Arial Narrow" w:hAnsi="Arial Narrow"/>
          <w:b/>
          <w:i/>
          <w:sz w:val="18"/>
        </w:rPr>
        <w:t>Misrepresentation</w:t>
      </w:r>
      <w:r>
        <w:rPr>
          <w:rFonts w:cs="Arial Narrow" w:ascii="Arial Narrow" w:hAnsi="Arial Narrow"/>
          <w:sz w:val="18"/>
        </w:rPr>
        <w:t>)</w:t>
      </w:r>
      <w:r>
        <w:rPr>
          <w:rFonts w:cs="Arial Narrow" w:ascii="Arial Narrow" w:hAnsi="Arial Narrow"/>
          <w:b/>
          <w:i/>
          <w:sz w:val="18"/>
        </w:rPr>
        <w:t xml:space="preserve"> </w:t>
      </w:r>
      <w:r>
        <w:rPr>
          <w:rFonts w:cs="Arial Narrow" w:ascii="Arial Narrow" w:hAnsi="Arial Narrow"/>
          <w:sz w:val="18"/>
        </w:rPr>
        <w:t>any representation or warranty made by the party in this Agreement shall prove to have been false or misleading in any material respect; (c) (</w:t>
      </w:r>
      <w:r>
        <w:rPr>
          <w:rFonts w:cs="Arial Narrow" w:ascii="Arial Narrow" w:hAnsi="Arial Narrow"/>
          <w:b/>
          <w:i/>
          <w:sz w:val="18"/>
        </w:rPr>
        <w:t>Breach of Agreement</w:t>
      </w:r>
      <w:r>
        <w:rPr>
          <w:rFonts w:cs="Arial Narrow" w:ascii="Arial Narrow" w:hAnsi="Arial Narrow"/>
          <w:sz w:val="18"/>
        </w:rPr>
        <w:t>) the breach by the party of any other covenant or agreement set out in this Agreement (other than the obligation to make payment) and such failure is not cured within thirty (30) Business Days after notice of such breach is given to the party; (d) (</w:t>
      </w:r>
      <w:r>
        <w:rPr>
          <w:rFonts w:cs="Arial Narrow" w:ascii="Arial Narrow" w:hAnsi="Arial Narrow"/>
          <w:b/>
          <w:i/>
          <w:sz w:val="18"/>
        </w:rPr>
        <w:t>Insolvency</w:t>
      </w:r>
      <w:r>
        <w:rPr>
          <w:rFonts w:cs="Arial Narrow" w:ascii="Arial Narrow" w:hAnsi="Arial Narrow"/>
          <w:sz w:val="18"/>
        </w:rPr>
        <w:t>) the occurrence of an Insolvency Event; (e) (</w:t>
      </w:r>
      <w:r>
        <w:rPr>
          <w:rFonts w:cs="Arial Narrow" w:ascii="Arial Narrow" w:hAnsi="Arial Narrow"/>
          <w:b/>
          <w:i/>
          <w:sz w:val="18"/>
        </w:rPr>
        <w:t>Merger</w:t>
      </w:r>
      <w:r>
        <w:rPr>
          <w:rFonts w:cs="Arial Narrow" w:ascii="Arial Narrow" w:hAnsi="Arial Narrow"/>
          <w:b/>
          <w:sz w:val="18"/>
        </w:rPr>
        <w:t xml:space="preserve">) </w:t>
      </w:r>
      <w:r>
        <w:rPr>
          <w:rFonts w:cs="Arial Narrow" w:ascii="Arial Narrow" w:hAnsi="Arial Narrow"/>
          <w:sz w:val="18"/>
        </w:rPr>
        <w:t>the occurrence of a Merger Event; (f) [</w:t>
      </w:r>
      <w:r>
        <w:rPr>
          <w:rFonts w:cs="Arial Narrow" w:ascii="Arial Narrow" w:hAnsi="Arial Narrow"/>
          <w:b/>
          <w:i/>
          <w:sz w:val="18"/>
        </w:rPr>
        <w:t>Cross-default</w:t>
      </w:r>
      <w:r>
        <w:rPr>
          <w:rFonts w:cs="Arial Narrow" w:ascii="Arial Narrow" w:hAnsi="Arial Narrow"/>
          <w:sz w:val="18"/>
        </w:rPr>
        <w:t>) the failure in the payment by the Party or its Credit Support Provider when due (whether at maturity, by acceleration, or otherwise) of any obligation in respect of borrowed money, in an aggregate amount in excess of the applicable Threshold Amount (as specified in the Schedule), and the failure to remedy such failure within any applicable grace period, or the failure by the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w:t>
      </w:r>
      <w:r>
        <w:rPr>
          <w:rFonts w:cs="Arial Narrow" w:ascii="Arial Narrow" w:hAnsi="Arial Narrow"/>
          <w:b/>
          <w:i/>
          <w:sz w:val="18"/>
        </w:rPr>
        <w:t>Credit Support Default</w:t>
      </w:r>
      <w:r>
        <w:rPr>
          <w:rFonts w:cs="Arial Narrow" w:ascii="Arial Narrow" w:hAnsi="Arial Narrow"/>
          <w:sz w:val="18"/>
        </w:rPr>
        <w:t>) the failure by the party or its Credit Support Provider to establish, maintain or renew any credit support provided for in any Credit Support Document or to comply with or perform any agreement or obligation thereunder if such failure is continuing after any applicable grace period has elapsed.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6.</w:t>
        <w:tab/>
        <w:t>REMEDIES</w:t>
      </w:r>
    </w:p>
    <w:p>
      <w:pPr>
        <w:pStyle w:val="BodyText2"/>
        <w:rPr/>
      </w:pPr>
      <w:r>
        <w:rPr>
          <w:rFonts w:cs="Arial Narrow" w:ascii="Arial Narrow" w:hAnsi="Arial Narrow"/>
        </w:rPr>
        <w:t>If an Event of Default has occurred and is then continuing, the non-defaulting party may, by no more than twenty (20) days notice to the other party (hereinafter the “</w:t>
      </w:r>
      <w:r>
        <w:rPr>
          <w:rFonts w:cs="Arial Narrow" w:ascii="Arial Narrow" w:hAnsi="Arial Narrow"/>
          <w:b/>
        </w:rPr>
        <w:t>Defaulting Party</w:t>
      </w:r>
      <w:r>
        <w:rPr>
          <w:rFonts w:cs="Arial Narrow" w:ascii="Arial Narrow" w:hAnsi="Arial Narrow"/>
        </w:rPr>
        <w:t>”) designate a day not earlier than the day such notice is effective as an early termination date (hereinafter the “</w:t>
      </w:r>
      <w:r>
        <w:rPr>
          <w:rFonts w:cs="Arial Narrow" w:ascii="Arial Narrow" w:hAnsi="Arial Narrow"/>
          <w:b/>
        </w:rPr>
        <w:t>Early Termination Date</w:t>
      </w:r>
      <w:r>
        <w:rPr>
          <w:rFonts w:cs="Arial Narrow" w:ascii="Arial Narrow" w:hAnsi="Arial Narrow"/>
        </w:rPr>
        <w:t>”). On the Early Termination Date, all obligations under all Transactions with respect to all Determination Periods which would have ended after the Early Termination Date shall be terminated (whether or not the relevant Event of Default is then continuing)[, except as provided below].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such Transactions plus all Unpaid Amounts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within five (5) Business Days of the Early Termination Date, pay the net amount to the Defaulting Party, which amount shall bear interest at the Interest Rate from five (5) Business Days after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except to the extent that the payments required to be made pursuant to this agreement are deemed to be such damages.</w:t>
      </w:r>
    </w:p>
    <w:p>
      <w:pPr>
        <w:pStyle w:val="BodyText2"/>
        <w:rPr>
          <w:rFonts w:ascii="Arial Narrow" w:hAnsi="Arial Narrow" w:cs="Arial Narrow"/>
        </w:rPr>
      </w:pPr>
      <w:r>
        <w:rPr>
          <w:rFonts w:cs="Arial Narrow" w:ascii="Arial Narrow" w:hAnsi="Arial Narrow"/>
        </w:rPr>
        <w:t>If “Automatic Early Termination” is specified in the Schedule as applying to a party, then an Early Termination Date in respect of all outstanding Transactions will occur immediately upon the occurrence of an Insolvency Event with respect to such party.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7.</w:t>
        <w:tab/>
        <w:t>EVENTS OF CHANGE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w:t>
        <w:tab/>
      </w:r>
      <w:r>
        <w:rPr>
          <w:rFonts w:cs="Arial Narrow" w:ascii="Arial Narrow" w:hAnsi="Arial Narrow"/>
          <w:b/>
          <w:i/>
          <w:sz w:val="18"/>
        </w:rPr>
        <w:t>Notice.</w:t>
      </w:r>
      <w:r>
        <w:rPr>
          <w:rFonts w:cs="Arial Narrow" w:ascii="Arial Narrow" w:hAnsi="Arial Narrow"/>
          <w:sz w:val="18"/>
        </w:rPr>
        <w:t xml:space="preserve"> 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(hereinafter an “</w:t>
      </w:r>
      <w:r>
        <w:rPr>
          <w:rFonts w:cs="Arial Narrow" w:ascii="Arial Narrow" w:hAnsi="Arial Narrow"/>
          <w:b/>
          <w:sz w:val="18"/>
        </w:rPr>
        <w:t>Accelerated Termination Date</w:t>
      </w:r>
      <w:r>
        <w:rPr>
          <w:rFonts w:cs="Arial Narrow" w:ascii="Arial Narrow" w:hAnsi="Arial Narrow"/>
          <w:sz w:val="18"/>
        </w:rPr>
        <w:t xml:space="preserve">”), but only with respect to those Transactions that are affected by such Event of Change. During the period between the date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(b)</w:t>
        <w:tab/>
      </w:r>
      <w:r>
        <w:rPr>
          <w:rFonts w:cs="Arial Narrow" w:ascii="Arial Narrow" w:hAnsi="Arial Narrow"/>
          <w:b/>
          <w:i/>
          <w:sz w:val="18"/>
        </w:rPr>
        <w:t>Termination and Calculations.</w:t>
      </w:r>
      <w:r>
        <w:rPr>
          <w:rFonts w:cs="Arial Narrow" w:ascii="Arial Narrow" w:hAnsi="Arial Narrow"/>
          <w:sz w:val="18"/>
        </w:rPr>
        <w:t xml:space="preserve"> On an Accelerated Termination Date, all obligations under this Agreement with respect to all Transactions affected by the Event of Change that would have been payable with respect to all Determination Periods that would have ended on or after the Accelerated Termination Date shall be terminated, except for the obligations contained in this Section 7. 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The party whose aggregate Losses and Costs exceed its Gains shall have a net loss (hereinafter a “</w:t>
      </w:r>
      <w:r>
        <w:rPr>
          <w:rFonts w:cs="Arial Narrow" w:ascii="Arial Narrow" w:hAnsi="Arial Narrow"/>
          <w:b/>
          <w:sz w:val="18"/>
        </w:rPr>
        <w:t>Net Loss</w:t>
      </w:r>
      <w:r>
        <w:rPr>
          <w:rFonts w:cs="Arial Narrow" w:ascii="Arial Narrow" w:hAnsi="Arial Narrow"/>
          <w:sz w:val="18"/>
        </w:rPr>
        <w:t>”) and the party whose aggregate Gains exceed its Losses and Costs shall have a net gain (hereinafter a “</w:t>
      </w:r>
      <w:r>
        <w:rPr>
          <w:rFonts w:cs="Arial Narrow" w:ascii="Arial Narrow" w:hAnsi="Arial Narrow"/>
          <w:b/>
          <w:sz w:val="18"/>
        </w:rPr>
        <w:t>Net Gain</w:t>
      </w:r>
      <w:r>
        <w:rPr>
          <w:rFonts w:cs="Arial Narrow" w:ascii="Arial Narrow" w:hAnsi="Arial Narrow"/>
          <w:sz w:val="18"/>
        </w:rPr>
        <w:t xml:space="preserve">”). Upon request, each party agrees to provide to the other written notice, in reasonable detail, of its calculations (specifying each of its Costs, Gains, and Losses) and supporting documentation, if any.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(c)</w:t>
        <w:tab/>
      </w:r>
      <w:r>
        <w:rPr>
          <w:rFonts w:cs="Arial Narrow" w:ascii="Arial Narrow" w:hAnsi="Arial Narrow"/>
          <w:b/>
          <w:i/>
          <w:sz w:val="18"/>
        </w:rPr>
        <w:t>Settlement.</w:t>
      </w:r>
      <w:r>
        <w:rPr>
          <w:rFonts w:cs="Arial Narrow" w:ascii="Arial Narrow" w:hAnsi="Arial Narrow"/>
          <w:sz w:val="18"/>
        </w:rPr>
        <w:t xml:space="preserve"> Once the determination has been agreed to or made in accordance with this Section 7, then: (i) if the Payment Amount (as calculated below) is positive, the party with the Net Gain shall pay the Payment Amount to the party with the Net Loss; and (ii) if the Payment Amount (as calculated below) is negative, the party with the Net Loss shall pay the absolute value of the Payment Amount to the party with the Net Gain. 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u w:val="single"/>
        </w:rPr>
      </w:pPr>
      <w:r>
        <w:rPr>
          <w:rFonts w:cs="Arial Narrow" w:ascii="Arial Narrow" w:hAnsi="Arial Narrow"/>
          <w:b/>
          <w:sz w:val="18"/>
        </w:rPr>
        <w:t>8.</w:t>
        <w:tab/>
        <w:t>GOVERNING LAW AND JURISDICTION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w:t>
        <w:tab/>
      </w:r>
      <w:r>
        <w:rPr>
          <w:rFonts w:cs="Arial Narrow" w:ascii="Arial Narrow" w:hAnsi="Arial Narrow"/>
          <w:b/>
          <w:i/>
          <w:sz w:val="18"/>
        </w:rPr>
        <w:t>Governing Law</w:t>
      </w:r>
      <w:r>
        <w:rPr>
          <w:rFonts w:cs="Arial Narrow" w:ascii="Arial Narrow" w:hAnsi="Arial Narrow"/>
          <w:sz w:val="18"/>
        </w:rPr>
        <w:t xml:space="preserve">. This Agreement shall be governed by and construed in accordance with the  law specified in the Schedule.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(b)</w:t>
        <w:tab/>
      </w:r>
      <w:r>
        <w:rPr>
          <w:rFonts w:cs="Arial Narrow" w:ascii="Arial Narrow" w:hAnsi="Arial Narrow"/>
          <w:b/>
          <w:i/>
          <w:sz w:val="18"/>
        </w:rPr>
        <w:t>Jurisdiction</w:t>
      </w:r>
      <w:r>
        <w:rPr>
          <w:rFonts w:cs="Arial Narrow" w:ascii="Arial Narrow" w:hAnsi="Arial Narrow"/>
          <w:sz w:val="18"/>
        </w:rPr>
        <w:t xml:space="preserve">. With respect to any suit, action or proceedings relating to this Agreement, each party irrevocably submits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sz w:val="18"/>
        </w:rPr>
      </w:pPr>
      <w:r>
        <w:rPr>
          <w:rFonts w:cs="Arial Narrow" w:ascii="Arial Narrow" w:hAnsi="Arial Narrow"/>
          <w:b/>
          <w:sz w:val="18"/>
        </w:rPr>
        <w:t>9.</w:t>
        <w:tab/>
        <w:t>DOCUMENTS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Concurrently with the execution and delivery of this Master Agreement and any Credit Support Documents, each party shall furnish to the other party the documents specified in the Schedule, if any, in a form and substance satisfactory to the other party.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10.</w:t>
        <w:tab/>
        <w:t>MISCELLANEOUS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(a)</w:t>
        <w:tab/>
      </w:r>
      <w:r>
        <w:rPr>
          <w:rFonts w:cs="Arial Narrow" w:ascii="Arial Narrow" w:hAnsi="Arial Narrow"/>
          <w:b/>
          <w:i/>
          <w:sz w:val="18"/>
        </w:rPr>
        <w:t>Entire agreement, Notices and Expenses</w:t>
      </w:r>
      <w:r>
        <w:rPr>
          <w:rFonts w:cs="Arial Narrow" w:ascii="Arial Narrow" w:hAnsi="Arial Narrow"/>
          <w:sz w:val="18"/>
        </w:rPr>
        <w:t>. This Agreement contains the entire agreement between the parties and supersedes all prior oral or written communications or agreements relating to the subject matter. All notices in connection with this Agreement may be given during the recipient's normal business hours by hand delivery (effective upon delivery), certified or registered mail (airmail if overseas) or the equivalent  (effective upon the date delivery or attempted delivery (according to return receipt), telex (effective upon receipt of answerback) or facsimile (effective upon receipt of evidence, including facsimile evidence, that the facsimile was received), electronic messaging system (effective upon receipt) to the address specified in the Schedule (or as may be subsequently designated by effective notice). This Agreement may be executed in counterparts (including by 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(b)</w:t>
        <w:tab/>
      </w:r>
      <w:r>
        <w:rPr>
          <w:rFonts w:cs="Arial Narrow" w:ascii="Arial Narrow" w:hAnsi="Arial Narrow"/>
          <w:b/>
          <w:i/>
          <w:sz w:val="18"/>
        </w:rPr>
        <w:t>Survival.</w:t>
      </w:r>
      <w:r>
        <w:rPr>
          <w:rFonts w:cs="Arial Narrow" w:ascii="Arial Narrow" w:hAnsi="Arial Narrow"/>
          <w:sz w:val="18"/>
        </w:rPr>
        <w:t xml:space="preserve"> Except to the extent otherwise provided in Section 6 as to certain payment obligations terminated under a Transaction that has been terminated, the obligations of the parties under this Agreement shall survive the termination of any Transaction, and the provisions of this Agreement shall continue to be effective until the parties otherwise agree in writing.</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(c)</w:t>
        <w:tab/>
      </w:r>
      <w:r>
        <w:rPr>
          <w:rFonts w:cs="Arial Narrow" w:ascii="Arial Narrow" w:hAnsi="Arial Narrow"/>
          <w:b/>
          <w:i/>
          <w:sz w:val="18"/>
        </w:rPr>
        <w:t>Binding Effect and Assignments</w:t>
      </w:r>
      <w:r>
        <w:rPr>
          <w:rFonts w:cs="Arial Narrow" w:ascii="Arial Narrow" w:hAnsi="Arial Narrow"/>
          <w:sz w:val="18"/>
        </w:rPr>
        <w:t>. This Agreement shall be binding upon and inure to the benefit of the parties and their respective successors and permitted assigns; however, neither party shall have the power to assign or otherwise transfer all or any of its rights or obligations under this Agreement without the prior written consent of the other party, which consent shall not be unreasonably withheld or delayed, and any purported assignment or transfer in breach of this provision shall be void and of no force and effect.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(d)</w:t>
        <w:tab/>
      </w:r>
      <w:r>
        <w:rPr>
          <w:rFonts w:cs="Arial Narrow" w:ascii="Arial Narrow" w:hAnsi="Arial Narrow"/>
          <w:b/>
          <w:i/>
          <w:sz w:val="18"/>
        </w:rPr>
        <w:t>Stamp Taxes</w:t>
      </w:r>
      <w:r>
        <w:rPr>
          <w:rFonts w:cs="Arial Narrow" w:ascii="Arial Narrow" w:hAnsi="Arial Narrow"/>
          <w:sz w:val="18"/>
        </w:rPr>
        <w:t>. Each party agrees with the other that, so long as either party has or may have any obligation under this Agreement that it will pay any stamp, registration, documentation or similar tax (hereinafter “</w:t>
      </w:r>
      <w:r>
        <w:rPr>
          <w:rFonts w:cs="Arial Narrow" w:ascii="Arial Narrow" w:hAnsi="Arial Narrow"/>
          <w:b/>
          <w:sz w:val="18"/>
        </w:rPr>
        <w:t>Stamp Tax</w:t>
      </w:r>
      <w:r>
        <w:rPr>
          <w:rFonts w:cs="Arial Narrow" w:ascii="Arial Narrow" w:hAnsi="Arial Narrow"/>
          <w:sz w:val="18"/>
        </w:rPr>
        <w:t>”) levied or imposed upon it or in respect of its execution or performance of this Agreement by a jurisdiction in which it is incorporated, organised, managed and controlled, or considered to have its seat, or in which a branch or office through which it is acting for the purpose of this Agreement is located (hereinafter “</w:t>
      </w:r>
      <w:r>
        <w:rPr>
          <w:rFonts w:cs="Arial Narrow" w:ascii="Arial Narrow" w:hAnsi="Arial Narrow"/>
          <w:b/>
          <w:sz w:val="18"/>
        </w:rPr>
        <w:t>Stamp Tax Jurisdiction</w:t>
      </w:r>
      <w:r>
        <w:rPr>
          <w:rFonts w:cs="Arial Narrow" w:ascii="Arial Narrow" w:hAnsi="Arial Narrow"/>
          <w:sz w:val="18"/>
        </w:rPr>
        <w:t>”) and will indemnify the other party against any Stamp Tax levied or imposed upon the other party or in respect of the other party’s execution or performance of this Agreement by any Stamp Tax Jurisdiction which is not also a Stamp Tax Jurisdiction with respect to the other party.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b/>
          <w:sz w:val="18"/>
        </w:rPr>
        <w:t>11.</w:t>
        <w:tab/>
        <w:t>GENERAL DEFINITIONS</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As used in this Agreement: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The terms “Alternative Floating Price Source”, “Buyer”, “Exercise Period”, “Fixed Price”, “Fixed Price Payer”, “Floating Price”, “Floating Price Payer”, “Notional Quantity”, “Premium”, “Premium Payor”, “Premium Payment Date”, “Seller”, and “Strike Price” shall have the meanings given such terms in the relevant Confirmation. A term or expression defined in this Agreement include both the singular and the plural.</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Affiliate</w:t>
      </w:r>
      <w:r>
        <w:rPr>
          <w:rFonts w:cs="Arial Narrow" w:ascii="Arial Narrow" w:hAnsi="Arial Narrow"/>
          <w:sz w:val="18"/>
        </w:rPr>
        <w:t>” shall mean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rPr>
        <w:t>control</w:t>
      </w:r>
      <w:r>
        <w:rPr>
          <w:rFonts w:cs="Arial Narrow" w:ascii="Arial Narrow" w:hAnsi="Arial Narrow"/>
          <w:sz w:val="18"/>
        </w:rPr>
        <w:t>”, when used with respect to a person, means the power to direct the management and policies of such person, directly or indirectly, whether through the ownership of voting securities, by contract or otherwise, and the terms “</w:t>
      </w:r>
      <w:r>
        <w:rPr>
          <w:rFonts w:cs="Arial Narrow" w:ascii="Arial Narrow" w:hAnsi="Arial Narrow"/>
          <w:b/>
          <w:sz w:val="18"/>
        </w:rPr>
        <w:t>controlling</w:t>
      </w:r>
      <w:r>
        <w:rPr>
          <w:rFonts w:cs="Arial Narrow" w:ascii="Arial Narrow" w:hAnsi="Arial Narrow"/>
          <w:sz w:val="18"/>
        </w:rPr>
        <w:t>” and “</w:t>
      </w:r>
      <w:r>
        <w:rPr>
          <w:rFonts w:cs="Arial Narrow" w:ascii="Arial Narrow" w:hAnsi="Arial Narrow"/>
          <w:b/>
          <w:sz w:val="18"/>
        </w:rPr>
        <w:t>controlled</w:t>
      </w:r>
      <w:r>
        <w:rPr>
          <w:rFonts w:cs="Arial Narrow" w:ascii="Arial Narrow" w:hAnsi="Arial Narrow"/>
          <w:sz w:val="18"/>
        </w:rPr>
        <w:t xml:space="preserve">” have meanings correlative to the foregoing. </w:t>
      </w:r>
    </w:p>
    <w:p>
      <w:pPr>
        <w:pStyle w:val="Normal"/>
        <w:spacing w:lineRule="auto" w:line="240" w:before="0" w:after="120"/>
        <w:rPr/>
      </w:pPr>
      <w:r>
        <w:rPr>
          <w:rFonts w:cs="Arial Narrow" w:ascii="Arial Narrow" w:hAnsi="Arial Narrow"/>
          <w:sz w:val="18"/>
        </w:rPr>
        <w:t>[“</w:t>
      </w:r>
      <w:r>
        <w:rPr>
          <w:rFonts w:cs="Arial Narrow" w:ascii="Arial Narrow" w:hAnsi="Arial Narrow"/>
          <w:b/>
          <w:sz w:val="18"/>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Asian</w:t>
      </w:r>
      <w:r>
        <w:rPr>
          <w:rFonts w:cs="Arial Narrow" w:ascii="Arial Narrow" w:hAnsi="Arial Narrow"/>
          <w:sz w:val="18"/>
        </w:rPr>
        <w:t>”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Business Day</w:t>
      </w:r>
      <w:r>
        <w:rPr>
          <w:rFonts w:cs="Arial Narrow" w:ascii="Arial Narrow" w:hAnsi="Arial Narrow"/>
          <w:sz w:val="18"/>
        </w:rPr>
        <w:t>” shall mean a day on which commercial banks are open for business in the cities where the parties' addresses are located as specified in the Confirmation.</w:t>
      </w:r>
    </w:p>
    <w:p>
      <w:pPr>
        <w:pStyle w:val="Normal"/>
        <w:spacing w:lineRule="auto" w:line="240" w:before="0" w:after="120"/>
        <w:jc w:val="both"/>
        <w:rPr/>
      </w:pPr>
      <w:r>
        <w:rPr>
          <w:rFonts w:cs="Arial Narrow" w:ascii="Arial Narrow" w:hAnsi="Arial Narrow"/>
          <w:sz w:val="18"/>
        </w:rPr>
        <w:t>[“</w:t>
      </w:r>
      <w:r>
        <w:rPr>
          <w:rFonts w:cs="Arial Narrow" w:ascii="Arial Narrow" w:hAnsi="Arial Narrow"/>
          <w:b/>
          <w:sz w:val="18"/>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b/>
          <w:i/>
          <w:i/>
          <w:sz w:val="18"/>
        </w:rPr>
      </w:pPr>
      <w:r>
        <w:rPr>
          <w:rFonts w:cs="Arial Narrow" w:ascii="Arial Narrow" w:hAnsi="Arial Narrow"/>
          <w:sz w:val="18"/>
        </w:rPr>
        <w:t>“</w:t>
      </w:r>
      <w:r>
        <w:rPr>
          <w:rFonts w:cs="Arial Narrow" w:ascii="Arial Narrow" w:hAnsi="Arial Narrow"/>
          <w:b/>
          <w:sz w:val="18"/>
        </w:rPr>
        <w:t>Cash Settlement Amount</w:t>
      </w:r>
      <w:r>
        <w:rPr>
          <w:rFonts w:cs="Arial Narrow" w:ascii="Arial Narrow" w:hAnsi="Arial Narrow"/>
          <w:sz w:val="18"/>
        </w:rPr>
        <w:t xml:space="preserve">” shall mean, in respect of an Option, an amount (if any) that is payable by Seller on the applicable Payment Date(s) and is determined as provided in the Confirmation governing such Option.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Credit Support Documents</w:t>
      </w:r>
      <w:r>
        <w:rPr>
          <w:rFonts w:cs="Arial Narrow" w:ascii="Arial Narrow" w:hAnsi="Arial Narrow"/>
          <w:sz w:val="18"/>
        </w:rPr>
        <w:t>” shall mean any agreement  or instrument that is specified as such in this Agreement.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b/>
          <w:sz w:val="18"/>
        </w:rPr>
        <w:t>Credit Support Provider</w:t>
      </w:r>
      <w:r>
        <w:rPr>
          <w:rFonts w:cs="Arial Narrow" w:ascii="Arial Narrow" w:hAnsi="Arial Narrow"/>
          <w:sz w:val="18"/>
        </w:rPr>
        <w:t>” has the meaning specified in the Schedule.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spacing w:lineRule="auto" w:line="240" w:before="0" w:after="120"/>
        <w:jc w:val="both"/>
        <w:rPr/>
      </w:pPr>
      <w:r>
        <w:rPr>
          <w:rFonts w:cs="Arial Narrow" w:ascii="Arial Narrow" w:hAnsi="Arial Narrow"/>
          <w:sz w:val="18"/>
        </w:rPr>
        <w:t>[“</w:t>
      </w:r>
      <w:r>
        <w:rPr>
          <w:rFonts w:cs="Arial Narrow" w:ascii="Arial Narrow" w:hAnsi="Arial Narrow"/>
          <w:b/>
          <w:sz w:val="18"/>
        </w:rPr>
        <w:t>European</w:t>
      </w:r>
      <w:r>
        <w:rPr>
          <w:rFonts w:cs="Arial Narrow" w:ascii="Arial Narrow" w:hAnsi="Arial Narrow"/>
          <w:sz w:val="18"/>
        </w:rPr>
        <w:t>” means a style of Option pursuant to which the right(s) granted are exercisable only on the one day designated as the Exercise Period in the Confirmation, if any.]</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Event of Change</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by any government or taxing authority upon the making of payments (other than payments of interest) hereunder by either of the parties with respect to such Transaction; or (b) the performance of any obligation of either of the parties or its Credit Support Provider, if any, under the Agreement being unlawful.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Floating Amount</w:t>
      </w:r>
      <w:r>
        <w:rPr>
          <w:rFonts w:cs="Arial Narrow" w:ascii="Arial Narrow" w:hAnsi="Arial Narrow"/>
          <w:sz w:val="18"/>
        </w:rPr>
        <w:t>” shall mean an amount equal to the product of (a) the Notional Quantity per Determination Period multiplied by (b) the Floating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 A party may (but need not to) determine its Loss by reference to quotations of relevant rates or prices from one or more leading dealers in the relevant market</w:t>
      </w:r>
      <w:r>
        <w:rPr>
          <w:rFonts w:cs="Arial Narrow" w:ascii="Arial Narrow" w:hAnsi="Arial Narrow"/>
          <w:b/>
          <w:sz w:val="18"/>
        </w:rPr>
        <w:t>.</w:t>
      </w:r>
      <w:r>
        <w:rPr>
          <w:rFonts w:cs="Arial Narrow" w:ascii="Arial Narrow" w:hAnsi="Arial Narrow"/>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Indemnifiable Tax</w:t>
      </w:r>
      <w:r>
        <w:rPr>
          <w:rFonts w:cs="Arial Narrow" w:ascii="Arial Narrow" w:hAnsi="Arial Narrow"/>
          <w:sz w:val="18"/>
        </w:rPr>
        <w:t>” shall mean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Insolvency Event</w:t>
      </w:r>
      <w:r>
        <w:rPr>
          <w:rFonts w:cs="Arial Narrow" w:ascii="Arial Narrow" w:hAnsi="Arial Narrow"/>
          <w:sz w:val="18"/>
        </w:rPr>
        <w:t xml:space="preserve">” shall mean, with respect to any party, any of the following: (a) the party or its Credit Support Provider, if any, is insolvent, or generally does not or is not able to pay its debts as they become due, or admits in writing its inability to pay its debts generally as they become due; (b)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or, a trustee, custodian, conservator, receiver or similar official is appointed for the party or its Credit Support Provider, if any, or for a substantial part of its property; (c) the party or its Credit Support Provider, if any, consents to the dissolution or winding up of its affairs (other than pursuant to a consolidation, amalgamation, or merger); (d) the party or its Credit Support Provider, if any, takes any corporate or other appropriate organisational action to authorise any of the actions described in clauses (a), (b) or (c) above; or (e) any involuntary bankruptcy, reorganisation, debt arrangement, or other proceeding under any applicable bankruptcy, insolvency or other similar law for the relief of debtors or any dissolution or liquidation proceeding is instituted against the party, or any material event comparable to any of the foregoing occurs, and such proceeding is consented to or acquiesced in by the party or remains undismissed for thirty (30) days, or an order for relief against the party or its Credit Support Provider, if any, is entered under applicable bankruptcy law or other law for the relief of debtors.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Interest Rate</w:t>
      </w:r>
      <w:r>
        <w:rPr>
          <w:rFonts w:cs="Arial Narrow" w:ascii="Arial Narrow" w:hAnsi="Arial Narrow"/>
          <w:sz w:val="18"/>
        </w:rPr>
        <w:t>” shall mean (a) with respect to a non-defaulting party, a per annum rate of interest equal to six percent and (b) with respect to a Defaulting Party, a per annum rate of interest equal to twelve percent; provided, however, in either case the Interest Rate shall not exceed the maximum lawful rate under applicable law.</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w:t>
      </w:r>
      <w:r>
        <w:rPr>
          <w:rFonts w:cs="Arial Narrow" w:ascii="Arial Narrow" w:hAnsi="Arial Narrow"/>
          <w:b/>
          <w:sz w:val="18"/>
        </w:rPr>
        <w:t>Losses</w:t>
      </w:r>
      <w:r>
        <w:rPr>
          <w:rFonts w:cs="Arial Narrow" w:ascii="Arial Narrow" w:hAnsi="Arial Narrow"/>
          <w:sz w:val="18"/>
        </w:rPr>
        <w:t>” shall mean, with respect to a party, an amount equal to the present value of the economic loss,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 A party may (but need not to) determine its Loss by reference to quotations of relevant rates or prices from one or more leading dealers in the relevant market</w:t>
      </w:r>
      <w:r>
        <w:rPr>
          <w:rFonts w:cs="Arial Narrow" w:ascii="Arial Narrow" w:hAnsi="Arial Narrow"/>
          <w:b/>
          <w:sz w:val="18"/>
        </w:rPr>
        <w: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Market Disruption Event</w:t>
      </w:r>
      <w:r>
        <w:rPr>
          <w:rFonts w:cs="Arial Narrow" w:ascii="Arial Narrow" w:hAnsi="Arial Narrow"/>
          <w:sz w:val="18"/>
        </w:rPr>
        <w:t>” shall mean, with respect to a Floating Price Source, any of the following events: (a) the failure of the Floating Price Source to announce or publish information necessary for determining the Floating Price; (b) the failure of trading to commence or the permanent discontinuation or material suspension of trading on the exchange or market (e.g. Nord Pool ASA) acting as the Floating Price Source (the “</w:t>
      </w:r>
      <w:r>
        <w:rPr>
          <w:rFonts w:cs="Arial Narrow" w:ascii="Arial Narrow" w:hAnsi="Arial Narrow"/>
          <w:b/>
          <w:sz w:val="18"/>
        </w:rPr>
        <w:t>Exchange</w:t>
      </w:r>
      <w:r>
        <w:rPr>
          <w:rFonts w:cs="Arial Narrow" w:ascii="Arial Narrow" w:hAnsi="Arial Narrow"/>
          <w:sz w:val="18"/>
        </w:rPr>
        <w:t>”); (c) the temporary or permanent discontinuance or unavailability of any relevant Floating Price Source; (d) the temporary or permanent closing of the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or (f) a material change in the formula for or the method of determining the Floating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Merger Event</w:t>
      </w:r>
      <w:r>
        <w:rPr>
          <w:rFonts w:cs="Arial Narrow" w:ascii="Arial Narrow" w:hAnsi="Arial Narrow"/>
          <w:sz w:val="18"/>
        </w:rPr>
        <w:t>” shall mean, with respect to a party or its Credit Support Provider, if any (in each case, “X”),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X under the Agreement or any Credit Support Document to which it or its predecessor was a party by operation of law or pursuant to an agreement reasonably satisfactory to the other party or (b) the creditworthiness of the resulting, surviving or transferee entity is materially weaker, in the reasonable opinion of the other party, than that of X, immediately prior to such action; provided, however, that the events specified in this definition shall not constitute a “Merger Event” with respect to Party B or Party A, as the case may be (hereinafter the “</w:t>
      </w:r>
      <w:r>
        <w:rPr>
          <w:rFonts w:cs="Arial Narrow" w:ascii="Arial Narrow" w:hAnsi="Arial Narrow"/>
          <w:b/>
          <w:sz w:val="18"/>
        </w:rPr>
        <w:t>Affected Party</w:t>
      </w:r>
      <w:r>
        <w:rPr>
          <w:rFonts w:cs="Arial Narrow" w:ascii="Arial Narrow" w:hAnsi="Arial Narrow"/>
          <w:sz w:val="18"/>
        </w:rPr>
        <w:t>”)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directly or indirectly owned by the Affected Party's Credit Support Provider, if any, and all Credit Support Documents provided by such Credit Support Provider, if any, remain in full force and effect after such event.</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Notice of Exercise</w:t>
      </w:r>
      <w:r>
        <w:rPr>
          <w:rFonts w:cs="Arial Narrow" w:ascii="Arial Narrow" w:hAnsi="Arial Narrow"/>
          <w:sz w:val="18"/>
        </w:rPr>
        <w:t>”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on any Business Day during the Exercise Period.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Option</w:t>
      </w:r>
      <w:r>
        <w:rPr>
          <w:rFonts w:cs="Arial Narrow" w:ascii="Arial Narrow" w:hAnsi="Arial Narrow"/>
          <w:sz w:val="18"/>
        </w:rPr>
        <w:t>” shall mean any Transaction that is a Cap, Floor Swaption or Asian Option and is identified in the relevant Confirmation as an Option.]</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Payment Date</w:t>
      </w:r>
      <w:r>
        <w:rPr>
          <w:rFonts w:cs="Arial Narrow" w:ascii="Arial Narrow" w:hAnsi="Arial Narrow"/>
          <w:sz w:val="18"/>
        </w:rPr>
        <w:t>”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Swap</w:t>
      </w:r>
      <w:r>
        <w:rPr>
          <w:rFonts w:cs="Arial Narrow" w:ascii="Arial Narrow" w:hAnsi="Arial Narrow"/>
          <w:sz w:val="18"/>
        </w:rPr>
        <w:t>” shall mean a Transaction in which the Floating Price Payer is obliged to make a cash payment to the Fixed Price Payer for those hours where the Floating Price exceeds the Fixed Price, or a Transaction in which the Fixed Price Payer is obliged to make a cash payment to the Floating Price Payer for those hours where the Fixed Price exceeds the Floating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Swaption</w:t>
      </w:r>
      <w:r>
        <w:rPr>
          <w:rFonts w:cs="Arial Narrow" w:ascii="Arial Narrow" w:hAnsi="Arial Narrow"/>
          <w:sz w:val="18"/>
        </w:rPr>
        <w:t>” means an Option to cause an Underlying Transaction to become effective.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Trading Day</w:t>
      </w:r>
      <w:r>
        <w:rPr>
          <w:rFonts w:cs="Arial Narrow" w:ascii="Arial Narrow" w:hAnsi="Arial Narrow"/>
          <w:sz w:val="18"/>
        </w:rPr>
        <w:t>” means (a) in respect of a Transaction for which a Floating Price is a price announced or published by an exchange (or would have been announced or published but for a Market Disruption Event),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Underlying Transaction</w:t>
      </w:r>
      <w:r>
        <w:rPr>
          <w:rFonts w:cs="Arial Narrow" w:ascii="Arial Narrow" w:hAnsi="Arial Narrow"/>
          <w:sz w:val="18"/>
        </w:rPr>
        <w:t>” shall mean a Transaction, the terms of which are identified in the Confirmation, which Transaction will not become effective unless the right to cause that Transaction to become effective has been exercised in time or deemed to have been exercised.</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Unpaid Amounts</w:t>
      </w:r>
      <w:r>
        <w:rPr>
          <w:rFonts w:cs="Arial Narrow" w:ascii="Arial Narrow" w:hAnsi="Arial Narrow"/>
          <w:sz w:val="18"/>
        </w:rPr>
        <w:t xml:space="preserve">” shall mean any unpaid amount or amounts that became due and payable with respect to any Determination Period that ended on or before any Accelerated Termination Date or Early Termination Date, as the case may be. </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pPr>
      <w:r>
        <w:rPr>
          <w:rFonts w:cs="Arial Narrow" w:ascii="Arial Narrow" w:hAnsi="Arial Narrow"/>
          <w:sz w:val="18"/>
        </w:rPr>
        <w:t>[“</w:t>
      </w:r>
      <w:r>
        <w:rPr>
          <w:rFonts w:cs="Arial Narrow" w:ascii="Arial Narrow" w:hAnsi="Arial Narrow"/>
          <w:b/>
          <w:sz w:val="18"/>
        </w:rPr>
        <w:t>Written Confirmation</w:t>
      </w:r>
      <w:r>
        <w:rPr>
          <w:rFonts w:cs="Arial Narrow" w:ascii="Arial Narrow" w:hAnsi="Arial Narrow"/>
          <w:sz w:val="18"/>
        </w:rPr>
        <w:t>” shall mean, if specified to be applicable in the Confirmation or if demanded by Seller (which demand may be made orally, including by telephone, or in writing) a written confirmation delivered promptly by Buyer, confirming the substance of the Notice of Exercise.]</w:t>
      </w:r>
    </w:p>
    <w:p>
      <w:pPr>
        <w:pStyle w:val="Normal"/>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rPr>
          <w:rFonts w:ascii="Arial Narrow" w:hAnsi="Arial Narrow" w:cs="Arial Narrow"/>
          <w:sz w:val="18"/>
        </w:rPr>
      </w:pPr>
      <w:r>
        <w:rPr>
          <w:rFonts w:cs="Arial Narrow" w:ascii="Arial Narrow" w:hAnsi="Arial Narrow"/>
          <w:sz w:val="18"/>
        </w:rPr>
        <w:t>IN WITNESS WHEREOF, the parties hereto have executed and delivered this Master Agreement on __________________,  but with effect as of the date first above written.</w:t>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spacing w:lineRule="auto" w:line="240" w:before="0" w:after="120"/>
              <w:jc w:val="both"/>
              <w:rPr>
                <w:rFonts w:ascii="Arial Narrow" w:hAnsi="Arial Narrow" w:cs="Arial Narrow"/>
                <w:sz w:val="18"/>
              </w:rPr>
            </w:pPr>
            <w:r>
              <w:rPr>
                <w:rFonts w:cs="Arial Narrow" w:ascii="Arial Narrow" w:hAnsi="Arial Narrow"/>
                <w:sz w:val="18"/>
              </w:rPr>
              <w:t>PARTY A</w:t>
            </w:r>
          </w:p>
          <w:p>
            <w:pPr>
              <w:pStyle w:val="Normal"/>
              <w:spacing w:lineRule="auto" w:line="240" w:before="0" w:after="120"/>
              <w:jc w:val="both"/>
              <w:rPr>
                <w:rFonts w:ascii="Arial Narrow" w:hAnsi="Arial Narrow" w:cs="Arial Narrow"/>
                <w:sz w:val="18"/>
              </w:rPr>
            </w:pPr>
            <w:r>
              <w:rPr>
                <w:rFonts w:cs="Arial Narrow" w:ascii="Arial Narrow" w:hAnsi="Arial Narrow"/>
                <w:sz w:val="18"/>
              </w:rPr>
            </w:r>
          </w:p>
          <w:p>
            <w:pPr>
              <w:pStyle w:val="Normal"/>
              <w:spacing w:lineRule="auto" w:line="240" w:before="0" w:after="12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r>
        <w:trPr/>
        <w:tc>
          <w:tcPr>
            <w:tcW w:w="4786" w:type="dxa"/>
            <w:tcBorders/>
          </w:tcPr>
          <w:p>
            <w:pPr>
              <w:pStyle w:val="Normal"/>
              <w:snapToGrid w:val="false"/>
              <w:spacing w:lineRule="auto" w:line="240" w:before="0" w:after="120"/>
              <w:jc w:val="both"/>
              <w:rPr>
                <w:rFonts w:ascii="Arial Narrow" w:hAnsi="Arial Narrow" w:cs="Arial Narrow"/>
                <w:sz w:val="18"/>
              </w:rPr>
            </w:pPr>
            <w:r>
              <w:rPr>
                <w:rFonts w:cs="Arial Narrow" w:ascii="Arial Narrow" w:hAnsi="Arial Narrow"/>
                <w:sz w:val="18"/>
              </w:rPr>
            </w:r>
          </w:p>
          <w:p>
            <w:pPr>
              <w:pStyle w:val="Normal"/>
              <w:spacing w:lineRule="auto" w:line="240" w:before="0" w:after="120"/>
              <w:jc w:val="both"/>
              <w:rPr>
                <w:rFonts w:ascii="Arial Narrow" w:hAnsi="Arial Narrow" w:cs="Arial Narrow"/>
                <w:sz w:val="18"/>
                <w:u w:val="single"/>
              </w:rPr>
            </w:pPr>
            <w:r>
              <w:rPr>
                <w:rFonts w:cs="Arial Narrow" w:ascii="Arial Narrow" w:hAnsi="Arial Narrow"/>
                <w:sz w:val="18"/>
              </w:rPr>
              <w:t>PARTY B</w:t>
            </w:r>
          </w:p>
          <w:p>
            <w:pPr>
              <w:pStyle w:val="Normal"/>
              <w:spacing w:lineRule="auto" w:line="240" w:before="0" w:after="120"/>
              <w:jc w:val="both"/>
              <w:rPr>
                <w:rFonts w:ascii="Arial Narrow" w:hAnsi="Arial Narrow" w:cs="Arial Narrow"/>
                <w:sz w:val="18"/>
                <w:u w:val="single"/>
              </w:rPr>
            </w:pPr>
            <w:r>
              <w:rPr>
                <w:rFonts w:cs="Arial Narrow" w:ascii="Arial Narrow" w:hAnsi="Arial Narrow"/>
                <w:sz w:val="18"/>
                <w:u w:val="single"/>
              </w:rPr>
            </w:r>
          </w:p>
          <w:p>
            <w:pPr>
              <w:pStyle w:val="Normal"/>
              <w:spacing w:lineRule="auto" w:line="240" w:before="0" w:after="12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spacing w:lineRule="auto" w:line="240" w:before="0" w:after="120"/>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spacing w:lineRule="auto" w:line="240" w:before="0" w:after="12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bl>
    <w:p>
      <w:pPr>
        <w:sectPr>
          <w:headerReference w:type="default" r:id="rId2"/>
          <w:headerReference w:type="first" r:id="rId3"/>
          <w:footerReference w:type="default" r:id="rId4"/>
          <w:footerReference w:type="first" r:id="rId5"/>
          <w:type w:val="nextPage"/>
          <w:pgSz w:w="11906" w:h="16838"/>
          <w:pgMar w:left="992" w:right="851" w:gutter="0" w:header="720" w:top="1009" w:footer="607" w:bottom="1151"/>
          <w:pgNumType w:start="1" w:fmt="decimal"/>
          <w:cols w:num="2" w:space="708" w:equalWidth="true" w:sep="false"/>
          <w:formProt w:val="false"/>
          <w:titlePg/>
          <w:textDirection w:val="lrTb"/>
          <w:docGrid w:type="default" w:linePitch="360" w:charSpace="0"/>
        </w:sectPr>
      </w:pPr>
    </w:p>
    <w:p>
      <w:pPr>
        <w:sectPr>
          <w:type w:val="continuous"/>
          <w:pgSz w:w="11906" w:h="16838"/>
          <w:pgMar w:left="992" w:right="851" w:gutter="0" w:header="720" w:top="1009" w:footer="607" w:bottom="1151"/>
          <w:formProt w:val="false"/>
          <w:titlePg/>
          <w:textDirection w:val="lrTb"/>
          <w:docGrid w:type="default" w:linePitch="360" w:charSpace="0"/>
        </w:sectPr>
        <w:pStyle w:val="Header"/>
        <w:rPr>
          <w:rFonts w:ascii="Arial Narrow" w:hAnsi="Arial Narrow" w:cs="Arial Narrow"/>
          <w:sz w:val="18"/>
        </w:rPr>
      </w:pPr>
      <w:r>
        <w:rPr>
          <w:rFonts w:cs="Arial Narrow" w:ascii="Arial Narrow" w:hAnsi="Arial Narrow"/>
          <w:sz w:val="18"/>
        </w:rPr>
      </w:r>
      <w:r>
        <w:br w:type="page"/>
      </w:r>
    </w:p>
    <w:p>
      <w:pPr>
        <w:pStyle w:val="Header"/>
        <w:jc w:val="center"/>
        <w:rPr>
          <w:rFonts w:ascii="Arial Narrow" w:hAnsi="Arial Narrow" w:cs="Arial Narrow"/>
          <w:sz w:val="18"/>
        </w:rPr>
      </w:pPr>
      <w:r>
        <w:rPr>
          <w:rFonts w:cs="Arial Narrow" w:ascii="Arial Narrow" w:hAnsi="Arial Narrow"/>
          <w:sz w:val="18"/>
        </w:rPr>
        <w:t>dated as of ………………………………………………………………………………….</w:t>
      </w:r>
    </w:p>
    <w:p>
      <w:pPr>
        <w:pStyle w:val="Normal"/>
        <w:spacing w:lineRule="auto" w:line="240" w:before="0" w:after="120"/>
        <w:rPr>
          <w:rFonts w:ascii="Arial Narrow" w:hAnsi="Arial Narrow" w:cs="Arial Narrow"/>
          <w:sz w:val="18"/>
        </w:rPr>
      </w:pPr>
      <w:r>
        <w:rPr>
          <w:rFonts w:cs="Arial Narrow" w:ascii="Arial Narrow" w:hAnsi="Arial Narrow"/>
          <w:sz w:val="18"/>
        </w:rPr>
        <w:t xml:space="preserve">between ……….……………………………………  and …………………………………………………….. </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ind w:hanging="709" w:start="709" w:end="0"/>
        <w:rPr/>
      </w:pPr>
      <w:r>
        <w:rPr>
          <w:rFonts w:cs="Arial Narrow" w:ascii="Arial Narrow" w:hAnsi="Arial Narrow"/>
          <w:sz w:val="18"/>
        </w:rPr>
        <w:t>Part 1.</w:t>
        <w:tab/>
      </w:r>
      <w:r>
        <w:rPr>
          <w:rFonts w:cs="Arial Narrow" w:ascii="Arial Narrow" w:hAnsi="Arial Narrow"/>
          <w:b/>
          <w:sz w:val="18"/>
        </w:rPr>
        <w:t>Termination Provisions</w:t>
      </w:r>
      <w:r>
        <w:rPr>
          <w:rFonts w:cs="Arial Narrow" w:ascii="Arial Narrow" w:hAnsi="Arial Narrow"/>
          <w:sz w:val="18"/>
        </w:rPr>
        <w:t>.</w:t>
      </w:r>
    </w:p>
    <w:p>
      <w:pPr>
        <w:pStyle w:val="Normal"/>
        <w:spacing w:lineRule="auto" w:line="240" w:before="0" w:after="120"/>
        <w:ind w:hanging="709" w:start="709" w:end="0"/>
        <w:rPr>
          <w:rFonts w:ascii="Arial Narrow" w:hAnsi="Arial Narrow" w:cs="Arial Narrow"/>
          <w:sz w:val="18"/>
        </w:rPr>
      </w:pPr>
      <w:r>
        <w:rPr>
          <w:rFonts w:cs="Arial Narrow" w:ascii="Arial Narrow" w:hAnsi="Arial Narrow"/>
          <w:sz w:val="18"/>
        </w:rPr>
      </w:r>
    </w:p>
    <w:p>
      <w:pPr>
        <w:pStyle w:val="Normal"/>
        <w:spacing w:lineRule="auto" w:line="240" w:before="0" w:after="120"/>
        <w:ind w:hanging="709" w:start="709" w:end="0"/>
        <w:rPr/>
      </w:pPr>
      <w:r>
        <w:rPr>
          <w:rFonts w:cs="Arial Narrow" w:ascii="Arial Narrow" w:hAnsi="Arial Narrow"/>
          <w:sz w:val="18"/>
        </w:rPr>
        <w:t>(a)</w:t>
        <w:tab/>
        <w:t>"</w:t>
      </w:r>
      <w:r>
        <w:rPr>
          <w:rFonts w:cs="Arial Narrow" w:ascii="Arial Narrow" w:hAnsi="Arial Narrow"/>
          <w:i/>
          <w:sz w:val="18"/>
        </w:rPr>
        <w:t>Threshold Amount</w:t>
      </w:r>
      <w:r>
        <w:rPr>
          <w:rFonts w:cs="Arial Narrow" w:ascii="Arial Narrow" w:hAnsi="Arial Narrow"/>
          <w:sz w:val="18"/>
        </w:rPr>
        <w:t>" means:…………………………with respect to Party A.</w:t>
      </w:r>
    </w:p>
    <w:p>
      <w:pPr>
        <w:pStyle w:val="Normal"/>
        <w:spacing w:lineRule="auto" w:line="240" w:before="0" w:after="120"/>
        <w:ind w:hanging="709" w:start="709" w:end="0"/>
        <w:rPr/>
      </w:pPr>
      <w:r>
        <w:rPr>
          <w:rFonts w:cs="Arial Narrow" w:ascii="Arial Narrow" w:hAnsi="Arial Narrow"/>
          <w:sz w:val="18"/>
        </w:rPr>
        <w:tab/>
        <w:t>"</w:t>
      </w:r>
      <w:r>
        <w:rPr>
          <w:rFonts w:cs="Arial Narrow" w:ascii="Arial Narrow" w:hAnsi="Arial Narrow"/>
          <w:i/>
          <w:sz w:val="18"/>
        </w:rPr>
        <w:t>Threshold Amount</w:t>
      </w:r>
      <w:r>
        <w:rPr>
          <w:rFonts w:cs="Arial Narrow" w:ascii="Arial Narrow" w:hAnsi="Arial Narrow"/>
          <w:sz w:val="18"/>
        </w:rPr>
        <w:t>" means:…………………………with respect to Party A</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rFonts w:ascii="Arial Narrow" w:hAnsi="Arial Narrow" w:cs="Arial Narrow"/>
          <w:sz w:val="18"/>
        </w:rPr>
      </w:pPr>
      <w:r>
        <w:rPr>
          <w:rFonts w:cs="Arial Narrow" w:ascii="Arial Narrow" w:hAnsi="Arial Narrow"/>
          <w:sz w:val="18"/>
        </w:rPr>
        <w:t>(b)</w:t>
        <w:tab/>
        <w:t>The "Automatic Early Termination" provision of Section 6(b) shall/shall not* apply to Party A</w:t>
      </w:r>
    </w:p>
    <w:p>
      <w:pPr>
        <w:pStyle w:val="Normal"/>
        <w:spacing w:lineRule="auto" w:line="240" w:before="0" w:after="120"/>
        <w:rPr>
          <w:rFonts w:ascii="Arial Narrow" w:hAnsi="Arial Narrow" w:cs="Arial Narrow"/>
          <w:sz w:val="18"/>
        </w:rPr>
      </w:pPr>
      <w:r>
        <w:rPr>
          <w:rFonts w:cs="Arial Narrow" w:ascii="Arial Narrow" w:hAnsi="Arial Narrow"/>
          <w:sz w:val="18"/>
        </w:rPr>
        <w:tab/>
        <w:t>The "Automatic Early Termination" provision of Section 6(b) shall/shall not* apply to Party B</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pPr>
      <w:r>
        <w:rPr>
          <w:rFonts w:cs="Arial Narrow" w:ascii="Arial Narrow" w:hAnsi="Arial Narrow"/>
          <w:sz w:val="18"/>
        </w:rPr>
        <w:t>Part 2.</w:t>
        <w:tab/>
      </w:r>
      <w:r>
        <w:rPr>
          <w:rFonts w:cs="Arial Narrow" w:ascii="Arial Narrow" w:hAnsi="Arial Narrow"/>
          <w:b/>
          <w:sz w:val="18"/>
        </w:rPr>
        <w:t>Agreement to Deliver Documents</w:t>
      </w:r>
      <w:r>
        <w:rPr>
          <w:rFonts w:cs="Arial Narrow" w:ascii="Arial Narrow" w:hAnsi="Arial Narrow"/>
          <w:sz w:val="18"/>
        </w:rPr>
        <w:t>.</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rFonts w:ascii="Arial Narrow" w:hAnsi="Arial Narrow" w:cs="Arial Narrow"/>
          <w:sz w:val="18"/>
        </w:rPr>
      </w:pPr>
      <w:r>
        <w:rPr>
          <w:rFonts w:cs="Arial Narrow" w:ascii="Arial Narrow" w:hAnsi="Arial Narrow"/>
          <w:sz w:val="18"/>
        </w:rPr>
        <w:t>For purpose of Section 9, each party agrees to deliver the following documents:-</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rFonts w:ascii="Arial Narrow" w:hAnsi="Arial Narrow" w:cs="Arial Narrow"/>
          <w:sz w:val="18"/>
        </w:rPr>
      </w:pPr>
      <w:r>
        <w:rPr>
          <w:rFonts w:cs="Arial Narrow" w:ascii="Arial Narrow" w:hAnsi="Arial Narrow"/>
          <w:sz w:val="18"/>
        </w:rPr>
        <w:t>Part 3.</w:t>
        <w:tab/>
      </w:r>
      <w:r>
        <w:rPr>
          <w:rFonts w:cs="Arial Narrow" w:ascii="Arial Narrow" w:hAnsi="Arial Narrow"/>
          <w:b/>
          <w:sz w:val="18"/>
        </w:rPr>
        <w:t>Notices and Communications.</w:t>
      </w:r>
    </w:p>
    <w:p>
      <w:pPr>
        <w:pStyle w:val="Normal"/>
        <w:spacing w:lineRule="auto" w:line="240" w:before="0" w:after="120"/>
        <w:rPr>
          <w:rFonts w:ascii="Arial Narrow" w:hAnsi="Arial Narrow" w:cs="Arial Narrow"/>
          <w:sz w:val="18"/>
        </w:rPr>
      </w:pPr>
      <w:r>
        <w:rPr>
          <w:rFonts w:cs="Arial Narrow" w:ascii="Arial Narrow" w:hAnsi="Arial Narrow"/>
          <w:sz w:val="18"/>
        </w:rPr>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u w:val="single"/>
              </w:rPr>
              <w:t>Notice to Party A</w:t>
            </w:r>
            <w:r>
              <w:rPr>
                <w:rFonts w:cs="Arial Narrow" w:ascii="Arial Narrow" w:hAnsi="Arial Narrow"/>
                <w:sz w:val="18"/>
              </w:rPr>
              <w:t>:</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u w:val="single"/>
              </w:rPr>
              <w:t>Notice to Party B</w:t>
            </w:r>
            <w:r>
              <w:rPr>
                <w:rFonts w:cs="Arial Narrow" w:ascii="Arial Narrow" w:hAnsi="Arial Narrow"/>
                <w:sz w:val="18"/>
              </w:rPr>
              <w:t>:</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Attn.:</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Facsimile No.:</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u w:val="single"/>
              </w:rPr>
            </w:pPr>
            <w:r>
              <w:rPr>
                <w:rFonts w:cs="Arial Narrow" w:ascii="Arial Narrow" w:hAnsi="Arial Narrow"/>
                <w:sz w:val="18"/>
                <w:u w:val="single"/>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u w:val="single"/>
              </w:rPr>
              <w:t>Payments to Party A</w:t>
            </w:r>
            <w:r>
              <w:rPr>
                <w:rFonts w:cs="Arial Narrow" w:ascii="Arial Narrow" w:hAnsi="Arial Narrow"/>
                <w:sz w:val="18"/>
              </w:rPr>
              <w:t>:</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u w:val="single"/>
              </w:rPr>
            </w:pPr>
            <w:r>
              <w:rPr>
                <w:rFonts w:cs="Arial Narrow" w:ascii="Arial Narrow" w:hAnsi="Arial Narrow"/>
                <w:sz w:val="18"/>
                <w:u w:val="single"/>
              </w:rPr>
              <w:t>Payments to Party B</w:t>
            </w:r>
            <w:r>
              <w:rPr>
                <w:rFonts w:cs="Arial Narrow" w:ascii="Arial Narrow" w:hAnsi="Arial Narrow"/>
                <w:sz w:val="18"/>
              </w:rPr>
              <w:t>:</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Bank:</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Bank:</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Account. No.:</w:t>
              <w:tab/>
              <w:tab/>
              <w:tab/>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ascii="Arial Narrow" w:hAnsi="Arial Narrow" w:cs="Arial Narrow"/>
                <w:sz w:val="18"/>
              </w:rPr>
            </w:pPr>
            <w:r>
              <w:rPr>
                <w:rFonts w:cs="Arial Narrow" w:ascii="Arial Narrow" w:hAnsi="Arial Narrow"/>
                <w:sz w:val="18"/>
              </w:rPr>
              <w:t>Account. No.:</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120"/>
              <w:rPr>
                <w:rFonts w:ascii="Arial Narrow" w:hAnsi="Arial Narrow" w:cs="Arial Narrow"/>
                <w:sz w:val="18"/>
              </w:rPr>
            </w:pPr>
            <w:r>
              <w:rPr>
                <w:rFonts w:cs="Arial Narrow" w:ascii="Arial Narrow" w:hAnsi="Arial Narrow"/>
                <w:sz w:val="18"/>
              </w:rPr>
            </w:r>
          </w:p>
        </w:tc>
      </w:tr>
    </w:tbl>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ind w:hanging="709" w:start="709" w:end="0"/>
        <w:rPr/>
      </w:pPr>
      <w:r>
        <w:rPr>
          <w:rFonts w:cs="Arial Narrow" w:ascii="Arial Narrow" w:hAnsi="Arial Narrow"/>
          <w:sz w:val="18"/>
        </w:rPr>
        <w:t>Part 4.</w:t>
        <w:tab/>
      </w:r>
      <w:r>
        <w:rPr>
          <w:rFonts w:cs="Arial Narrow" w:ascii="Arial Narrow" w:hAnsi="Arial Narrow"/>
          <w:b/>
          <w:sz w:val="18"/>
        </w:rPr>
        <w:t>Credit Support Documents</w:t>
      </w:r>
      <w:r>
        <w:rPr>
          <w:rFonts w:cs="Arial Narrow" w:ascii="Arial Narrow" w:hAnsi="Arial Narrow"/>
          <w:sz w:val="18"/>
        </w:rPr>
        <w:t>.</w:t>
      </w:r>
    </w:p>
    <w:p>
      <w:pPr>
        <w:pStyle w:val="Normal"/>
        <w:spacing w:lineRule="auto" w:line="240" w:before="0" w:after="120"/>
        <w:ind w:end="-142"/>
        <w:rPr>
          <w:rFonts w:ascii="Arial Narrow" w:hAnsi="Arial Narrow" w:cs="Arial Narrow"/>
          <w:b/>
          <w:i/>
          <w:i/>
          <w:sz w:val="18"/>
        </w:rPr>
      </w:pPr>
      <w:r>
        <w:rPr>
          <w:rFonts w:cs="Arial Narrow" w:ascii="Arial Narrow" w:hAnsi="Arial Narrow"/>
          <w:b/>
          <w:i/>
          <w:sz w:val="18"/>
        </w:rPr>
      </w:r>
    </w:p>
    <w:p>
      <w:pPr>
        <w:pStyle w:val="Normal"/>
        <w:spacing w:lineRule="auto" w:line="240" w:before="0" w:after="120"/>
        <w:ind w:end="-142"/>
        <w:rPr/>
      </w:pPr>
      <w:r>
        <w:rPr>
          <w:rFonts w:cs="Arial Narrow" w:ascii="Arial Narrow" w:hAnsi="Arial Narrow"/>
          <w:b/>
          <w:i/>
          <w:sz w:val="18"/>
        </w:rPr>
        <w:t>Credit Support Documents</w:t>
      </w:r>
      <w:r>
        <w:rPr>
          <w:rFonts w:cs="Arial Narrow" w:ascii="Arial Narrow" w:hAnsi="Arial Narrow"/>
          <w:sz w:val="18"/>
        </w:rPr>
        <w:t>.  Details of any Credit Support Documents:-…………………………………………………………………………………………………………………………………………….…………………....…………..……………………………………………………………………………………………………………..…………………………………………………………………………………………………………………………………………………………………………………..</w:t>
      </w:r>
    </w:p>
    <w:p>
      <w:pPr>
        <w:sectPr>
          <w:headerReference w:type="default" r:id="rId6"/>
          <w:headerReference w:type="first" r:id="rId7"/>
          <w:footerReference w:type="default" r:id="rId8"/>
          <w:footerReference w:type="first" r:id="rId9"/>
          <w:type w:val="nextPage"/>
          <w:pgSz w:w="11906" w:h="16838"/>
          <w:pgMar w:left="1701" w:right="1701" w:gutter="0" w:header="720" w:top="1418" w:footer="720" w:bottom="1418"/>
          <w:pgNumType w:fmt="decimal"/>
          <w:formProt w:val="false"/>
          <w:titlePg/>
          <w:textDirection w:val="lrTb"/>
          <w:docGrid w:type="default" w:linePitch="360" w:charSpace="0"/>
        </w:sectPr>
      </w:pP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rFonts w:ascii="Arial Narrow" w:hAnsi="Arial Narrow" w:cs="Arial Narrow"/>
          <w:sz w:val="18"/>
        </w:rPr>
      </w:pPr>
      <w:r>
        <w:rPr>
          <w:rFonts w:cs="Arial Narrow" w:ascii="Arial Narrow" w:hAnsi="Arial Narrow"/>
          <w:sz w:val="18"/>
        </w:rPr>
        <w:t>Part 5.</w:t>
        <w:tab/>
      </w:r>
      <w:r>
        <w:rPr>
          <w:rFonts w:cs="Arial Narrow" w:ascii="Arial Narrow" w:hAnsi="Arial Narrow"/>
          <w:b/>
          <w:sz w:val="18"/>
        </w:rPr>
        <w:t>Governing Law and Jurisdiction.</w:t>
      </w:r>
    </w:p>
    <w:p>
      <w:pPr>
        <w:pStyle w:val="BodyTextIndent2"/>
        <w:spacing w:before="0" w:after="120"/>
        <w:rPr>
          <w:rFonts w:ascii="Arial Narrow" w:hAnsi="Arial Narrow" w:cs="Arial Narrow"/>
          <w:sz w:val="18"/>
        </w:rPr>
      </w:pPr>
      <w:r>
        <w:rPr>
          <w:rFonts w:cs="Arial Narrow"/>
          <w:sz w:val="18"/>
        </w:rPr>
      </w:r>
    </w:p>
    <w:p>
      <w:pPr>
        <w:pStyle w:val="BodyTextIndent2"/>
        <w:spacing w:before="0" w:after="120"/>
        <w:rPr/>
      </w:pPr>
      <w:r>
        <w:rPr/>
        <w:t>(a)</w:t>
        <w:tab/>
      </w:r>
      <w:r>
        <w:rPr>
          <w:b/>
          <w:i/>
        </w:rPr>
        <w:t>Governing Law</w:t>
      </w:r>
      <w:r>
        <w:rPr/>
        <w:t>.  For the purpose of Section 8, this Agreement is governed by, and shall be construed in accordance with,  …………………………..………………………. (without regard to the principles of conflict of laws thereof)*.</w:t>
      </w:r>
    </w:p>
    <w:p>
      <w:pPr>
        <w:pStyle w:val="Normal"/>
        <w:spacing w:lineRule="auto" w:line="240" w:before="0" w:after="120"/>
        <w:ind w:hanging="709" w:start="709" w:end="0"/>
        <w:rPr>
          <w:rFonts w:ascii="Arial Narrow" w:hAnsi="Arial Narrow" w:cs="Arial Narrow"/>
          <w:sz w:val="18"/>
        </w:rPr>
      </w:pPr>
      <w:r>
        <w:rPr>
          <w:rFonts w:cs="Arial Narrow" w:ascii="Arial Narrow" w:hAnsi="Arial Narrow"/>
          <w:sz w:val="18"/>
        </w:rPr>
      </w:r>
    </w:p>
    <w:p>
      <w:pPr>
        <w:pStyle w:val="Normal"/>
        <w:spacing w:lineRule="auto" w:line="240" w:before="0" w:after="120"/>
        <w:ind w:hanging="709" w:start="709" w:end="0"/>
        <w:rPr/>
      </w:pPr>
      <w:r>
        <w:rPr>
          <w:rFonts w:cs="Arial Narrow" w:ascii="Arial Narrow" w:hAnsi="Arial Narrow"/>
          <w:sz w:val="18"/>
        </w:rPr>
        <w:t>(b)</w:t>
        <w:tab/>
      </w:r>
      <w:r>
        <w:rPr>
          <w:rFonts w:cs="Arial Narrow" w:ascii="Arial Narrow" w:hAnsi="Arial Narrow"/>
          <w:b/>
          <w:i/>
          <w:sz w:val="18"/>
        </w:rPr>
        <w:t>Jurisdiction</w:t>
      </w:r>
      <w:r>
        <w:rPr>
          <w:rFonts w:cs="Arial Narrow" w:ascii="Arial Narrow" w:hAnsi="Arial Narrow"/>
          <w:sz w:val="18"/>
        </w:rPr>
        <w:t>.  For the purpose of Section 8, with respect to any suit, action or proceedings relating to this Agreement, each party irrevocably submits to …………………………………………...*.</w:t>
      </w:r>
    </w:p>
    <w:p>
      <w:pPr>
        <w:pStyle w:val="Normal"/>
        <w:spacing w:lineRule="auto" w:line="240" w:before="0" w:after="120"/>
        <w:rPr>
          <w:rFonts w:ascii="Arial Narrow" w:hAnsi="Arial Narrow" w:cs="Arial Narrow"/>
          <w:sz w:val="18"/>
        </w:rPr>
      </w:pPr>
      <w:r>
        <w:rPr>
          <w:rFonts w:cs="Arial Narrow" w:ascii="Arial Narrow" w:hAnsi="Arial Narrow"/>
          <w:sz w:val="18"/>
        </w:rPr>
      </w:r>
    </w:p>
    <w:p>
      <w:pPr>
        <w:pStyle w:val="Normal"/>
        <w:spacing w:lineRule="auto" w:line="240" w:before="0" w:after="120"/>
        <w:rPr>
          <w:rFonts w:ascii="Arial Narrow" w:hAnsi="Arial Narrow" w:cs="Arial Narrow"/>
          <w:sz w:val="18"/>
        </w:rPr>
      </w:pPr>
      <w:r>
        <w:rPr>
          <w:rFonts w:cs="Arial Narrow" w:ascii="Arial Narrow" w:hAnsi="Arial Narrow"/>
          <w:sz w:val="18"/>
        </w:rPr>
        <w:t>* Insert as applicable.</w:t>
      </w:r>
    </w:p>
    <w:p>
      <w:pPr>
        <w:pStyle w:val="Header"/>
        <w:spacing w:before="0" w:after="280"/>
        <w:rPr>
          <w:rFonts w:ascii="Arial Narrow" w:hAnsi="Arial Narrow" w:cs="Arial Narrow"/>
          <w:sz w:val="18"/>
        </w:rPr>
      </w:pPr>
      <w:r>
        <w:rPr>
          <w:rFonts w:cs="Arial Narrow" w:ascii="Arial Narrow" w:hAnsi="Arial Narrow"/>
          <w:sz w:val="18"/>
        </w:rPr>
      </w:r>
    </w:p>
    <w:sectPr>
      <w:headerReference w:type="default" r:id="rId10"/>
      <w:headerReference w:type="first" r:id="rId11"/>
      <w:footerReference w:type="default" r:id="rId12"/>
      <w:footerReference w:type="first" r:id="rId13"/>
      <w:type w:val="nextPage"/>
      <w:pgSz w:w="11906" w:h="16838"/>
      <w:pgMar w:left="1701" w:right="1701" w:gutter="0" w:header="720" w:top="1418" w:footer="720" w:bottom="1418"/>
      <w:pgNumType w:start="8"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770" cy="177800"/>
              <wp:effectExtent l="0" t="0" r="0" b="0"/>
              <wp:wrapSquare wrapText="bothSides"/>
              <wp:docPr id="1" name="Frame1"/>
              <a:graphic xmlns:a="http://schemas.openxmlformats.org/drawingml/2006/main">
                <a:graphicData uri="http://schemas.microsoft.com/office/word/2010/wordprocessingShape">
                  <wps:wsp>
                    <wps:cNvSpPr txBox="1"/>
                    <wps:spPr>
                      <a:xfrm>
                        <a:off x="0" y="0"/>
                        <a:ext cx="64770" cy="177800"/>
                      </a:xfrm>
                      <a:prstGeom prst="rect"/>
                      <a:solidFill>
                        <a:srgbClr val="FFFFFF">
                          <a:alpha val="0"/>
                        </a:srgbClr>
                      </a:solidFill>
                    </wps:spPr>
                    <wps:txbx>
                      <w:txbxContent>
                        <w:p>
                          <w:pPr>
                            <w:pStyle w:val="Footer"/>
                            <w:spacing w:before="0" w:after="280"/>
                            <w:jc w:val="cen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1pt;height:14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spacing w:before="0" w:after="280"/>
                      <w:jc w:val="cen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2</w:t>
    </w:r>
    <w:r>
      <w:rPr>
        <w:rStyle w:val="PageNumbe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8</w:t>
    </w:r>
    <w:r>
      <w:rPr>
        <w:rStyle w:val="PageNumbe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80"/>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jc w:val="both"/>
      <w:rPr>
        <w:rFonts w:ascii="Arial Narrow" w:hAnsi="Arial Narrow" w:cs="Arial Narrow"/>
        <w:sz w:val="18"/>
        <w:u w:val="single"/>
      </w:rPr>
    </w:pPr>
    <w:r>
      <w:rPr>
        <w:rFonts w:cs="Arial Narrow" w:ascii="Arial Narrow" w:hAnsi="Arial Narrow"/>
        <w:sz w:val="18"/>
        <w:u w:val="single"/>
      </w:rPr>
      <w:t>DRAFT: 22/6/99</w:t>
    </w:r>
  </w:p>
  <w:p>
    <w:pPr>
      <w:pStyle w:val="Header"/>
      <w:spacing w:before="0" w:after="120"/>
      <w:jc w:val="center"/>
      <w:rPr>
        <w:rFonts w:ascii="Arial Narrow" w:hAnsi="Arial Narrow" w:cs="Arial Narrow"/>
        <w:b/>
        <w:sz w:val="28"/>
      </w:rPr>
    </w:pPr>
    <w:r>
      <w:rPr>
        <w:rFonts w:cs="Arial Narrow" w:ascii="Arial Narrow" w:hAnsi="Arial Narrow"/>
        <w:b/>
        <w:sz w:val="36"/>
      </w:rPr>
      <w:t>NORDIC POWER MASTER AGREEMENT</w:t>
    </w:r>
  </w:p>
  <w:p>
    <w:pPr>
      <w:pStyle w:val="Header"/>
      <w:spacing w:before="0" w:after="280"/>
      <w:jc w:val="center"/>
      <w:rPr>
        <w:rFonts w:ascii="Arial Narrow" w:hAnsi="Arial Narrow" w:cs="Arial Narrow"/>
        <w:b/>
        <w:sz w:val="24"/>
      </w:rPr>
    </w:pPr>
    <w:r>
      <w:rPr>
        <w:rFonts w:cs="Arial Narrow" w:ascii="Arial Narrow" w:hAnsi="Arial Narrow"/>
        <w:b/>
        <w:sz w:val="24"/>
      </w:rPr>
      <w:t>Nordisk Krafthandlerforening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780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800"/>
                      </a:xfrm>
                      <a:prstGeom prst="rect"/>
                      <a:solidFill>
                        <a:srgbClr val="FFFFFF">
                          <a:alpha val="0"/>
                        </a:srgbClr>
                      </a:solidFill>
                    </wps:spPr>
                    <wps:txbx>
                      <w:txbxContent>
                        <w:p>
                          <w:pPr>
                            <w:pStyle w:val="Header"/>
                            <w:spacing w:before="0" w:after="28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pt;mso-wrap-distance-left:0pt;mso-wrap-distance-right:0pt;mso-wrap-distance-top:0pt;mso-wrap-distance-bottom:0pt;margin-top:0.05pt;mso-position-vertical-relative:text;margin-left:212.05pt;mso-position-horizontal:center;mso-position-horizontal-relative:margin">
              <v:fill opacity="0f"/>
              <v:textbox inset="0in,0in,0in,0in">
                <w:txbxContent>
                  <w:p>
                    <w:pPr>
                      <w:pStyle w:val="Header"/>
                      <w:spacing w:before="0" w:after="280"/>
                      <w:rPr>
                        <w:rStyle w:val="PageNumber"/>
                      </w:rPr>
                    </w:pPr>
                    <w:r>
                      <w:rPr/>
                    </w:r>
                  </w:p>
                </w:txbxContent>
              </v:textbox>
              <w10:wrap type="square"/>
            </v:rect>
          </w:pict>
        </mc:Fallback>
      </mc:AlternateConten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spacing w:before="0" w:after="280"/>
      <w:jc w:val="center"/>
      <w:rPr>
        <w:rFonts w:ascii="Arial Narrow" w:hAnsi="Arial Narrow" w:cs="Arial Narrow"/>
        <w:b/>
        <w:sz w:val="28"/>
      </w:rPr>
    </w:pPr>
    <w:r>
      <w:rPr>
        <w:rFonts w:cs="Arial Narrow" w:ascii="Arial Narrow" w:hAnsi="Arial Narrow"/>
        <w:b/>
        <w:sz w:val="28"/>
      </w:rPr>
      <w:t>Nordic Power Master Agreement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780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7800"/>
                      </a:xfrm>
                      <a:prstGeom prst="rect"/>
                      <a:solidFill>
                        <a:srgbClr val="FFFFFF">
                          <a:alpha val="0"/>
                        </a:srgbClr>
                      </a:solidFill>
                    </wps:spPr>
                    <wps:txbx>
                      <w:txbxContent>
                        <w:p>
                          <w:pPr>
                            <w:pStyle w:val="Header"/>
                            <w:spacing w:before="0" w:after="28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pt;mso-wrap-distance-left:0pt;mso-wrap-distance-right:0pt;mso-wrap-distance-top:0pt;mso-wrap-distance-bottom:0pt;margin-top:0.05pt;mso-position-vertical-relative:text;margin-left:212.05pt;mso-position-horizontal:center;mso-position-horizontal-relative:margin">
              <v:fill opacity="0f"/>
              <v:textbox inset="0in,0in,0in,0in">
                <w:txbxContent>
                  <w:p>
                    <w:pPr>
                      <w:pStyle w:val="Header"/>
                      <w:spacing w:before="0" w:after="280"/>
                      <w:rPr>
                        <w:rStyle w:val="PageNumber"/>
                      </w:rPr>
                    </w:pPr>
                    <w:r>
                      <w:rPr/>
                    </w:r>
                  </w:p>
                </w:txbxContent>
              </v:textbox>
              <w10:wrap type="square"/>
            </v:rect>
          </w:pict>
        </mc:Fallback>
      </mc:AlternateConten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spacing w:before="0" w:after="280"/>
      <w:jc w:val="center"/>
      <w:rPr>
        <w:rFonts w:ascii="Arial Narrow" w:hAnsi="Arial Narrow" w:cs="Arial Narrow"/>
        <w:b/>
        <w:sz w:val="28"/>
      </w:rPr>
    </w:pPr>
    <w:r>
      <w:rPr>
        <w:rFonts w:cs="Arial Narrow" w:ascii="Arial Narrow" w:hAnsi="Arial Narrow"/>
        <w:b/>
        <w:sz w:val="28"/>
      </w:rPr>
      <w:t>Nordic Power Master Agreement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8"/>
        </w:tabs>
        <w:ind w:start="709" w:hanging="708"/>
      </w:pPr>
    </w:lvl>
    <w:lvl w:ilvl="1">
      <w:start w:val="1"/>
      <w:pStyle w:val="Heading2"/>
      <w:numFmt w:val="decimal"/>
      <w:lvlText w:val="%1.%2"/>
      <w:lvlJc w:val="start"/>
      <w:pPr>
        <w:tabs>
          <w:tab w:val="num" w:pos="708"/>
        </w:tabs>
        <w:ind w:start="709" w:hanging="708"/>
      </w:pPr>
    </w:lvl>
    <w:lvl w:ilvl="2">
      <w:start w:val="1"/>
      <w:pStyle w:val="Heading3"/>
      <w:numFmt w:val="upperLetter"/>
      <w:lvlText w:val="(%3)"/>
      <w:lvlJc w:val="start"/>
      <w:pPr>
        <w:tabs>
          <w:tab w:val="num" w:pos="708"/>
        </w:tabs>
        <w:ind w:start="1418" w:hanging="708"/>
      </w:pPr>
    </w:lvl>
    <w:lvl w:ilvl="3">
      <w:start w:val="1"/>
      <w:pStyle w:val="Heading4"/>
      <w:numFmt w:val="lowerRoman"/>
      <w:lvlText w:val="(%4)"/>
      <w:lvlJc w:val="start"/>
      <w:pPr>
        <w:tabs>
          <w:tab w:val="num" w:pos="708"/>
        </w:tabs>
        <w:ind w:start="2126" w:hanging="708"/>
      </w:pPr>
    </w:lvl>
    <w:lvl w:ilvl="4">
      <w:start w:val="1"/>
      <w:pStyle w:val="Heading5"/>
      <w:numFmt w:val="lowerLetter"/>
      <w:lvlText w:val="(%5)"/>
      <w:lvlJc w:val="start"/>
      <w:pPr>
        <w:tabs>
          <w:tab w:val="num" w:pos="708"/>
        </w:tabs>
        <w:ind w:start="2835" w:hanging="708"/>
      </w:pPr>
    </w:lvl>
    <w:lvl w:ilvl="5">
      <w:start w:val="1"/>
      <w:pStyle w:val="Heading6"/>
      <w:numFmt w:val="decimal"/>
      <w:lvlText w:val="(%6)"/>
      <w:lvlJc w:val="start"/>
      <w:pPr>
        <w:tabs>
          <w:tab w:val="num" w:pos="708"/>
        </w:tabs>
        <w:ind w:start="3544" w:hanging="708"/>
      </w:pPr>
    </w:lvl>
    <w:lvl w:ilvl="6">
      <w:start w:val="1"/>
      <w:pStyle w:val="Heading7"/>
      <w:numFmt w:val="upperLetter"/>
      <w:lvlText w:val="(%7)"/>
      <w:lvlJc w:val="start"/>
      <w:pPr>
        <w:tabs>
          <w:tab w:val="num" w:pos="708"/>
        </w:tabs>
        <w:ind w:start="4253" w:hanging="708"/>
      </w:pPr>
    </w:lvl>
    <w:lvl w:ilvl="7">
      <w:start w:val="1"/>
      <w:pStyle w:val="Heading8"/>
      <w:numFmt w:val="decimal"/>
      <w:lvlText w:val="(%8)"/>
      <w:lvlJc w:val="start"/>
      <w:pPr>
        <w:tabs>
          <w:tab w:val="num" w:pos="708"/>
        </w:tabs>
        <w:ind w:start="4961" w:hanging="708"/>
      </w:pPr>
    </w:lvl>
    <w:lvl w:ilvl="8">
      <w:start w:val="1"/>
      <w:pStyle w:val="Heading9"/>
      <w:numFmt w:val="lowerRoman"/>
      <w:lvlText w:val="(%9)"/>
      <w:lvlJc w:val="start"/>
      <w:pPr>
        <w:tabs>
          <w:tab w:val="num" w:pos="708"/>
        </w:tabs>
        <w:ind w:start="5670" w:hanging="708"/>
      </w:pPr>
    </w:lvl>
  </w:abstractNum>
  <w:abstractNum w:abstractNumId="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567"/>
  <w:autoHyphenation w:val="true"/>
  <w:hyphenationZone w:val="0"/>
  <w:compat>
    <w:doNotExpandShiftReturn/>
    <w:usePrinterMetrics/>
    <w:compatSetting w:name="compatibilityMode" w:uri="http://schemas.microsoft.com/office/word" w:val="11"/>
  </w:compat>
  <w:docVars>
    <w:docVar w:name="Alignment_Setting" w:val="Justified_Top"/>
    <w:docVar w:name="DAV_VBApp" w:val="VB"/>
    <w:docVar w:name="DOCTYPE" w:val="0|F|F"/>
    <w:docVar w:name="wwdiARCHIVE$" w:val="STANDARD"/>
    <w:docVar w:name="wwdiASSOC$" w:val="CD-Commercial/RRSB"/>
    <w:docVar w:name="wwdiAUTHOR$" w:val="WARNA-KULA-SURIYA, Sanjev"/>
    <w:docVar w:name="wwdiCATID$" w:val="CD"/>
    <w:docVar w:name="wwdiCKOGROUP$" w:val="GENERAL USERS"/>
    <w:docVar w:name="wwdiDOCTYPE$" w:val="Document"/>
    <w:docVar w:name="wwdiENCRYPT$" w:val=""/>
    <w:docVar w:name="wwdiFILECAT$" w:val="Documents"/>
    <w:docVar w:name="wwdiFILENAME$" w:val="CD991650.316"/>
    <w:docVar w:name="wwdiREF$" w:val="000000/00000"/>
    <w:docVar w:name="wwdiSTARTTIME$" w:val="227"/>
    <w:docVar w:name="wwdiSUBDOC$" w:val=""/>
    <w:docVar w:name="wwdiTEMPLATE$" w:val=""/>
    <w:docVar w:name="wwdiTITLE$" w:val="MASTER AGREEMENT"/>
    <w:docVar w:name="wwdiTYPIST$" w:val="WARNA-KULA-SURIYA, Sanjev"/>
    <w:docVar w:name="wwdiVERSION$" w:val="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ind w:hanging="709" w:start="0" w:end="0"/>
      <w:outlineLvl w:val="0"/>
    </w:pPr>
    <w:rPr>
      <w:b/>
    </w:rPr>
  </w:style>
  <w:style w:type="paragraph" w:styleId="Heading2">
    <w:name w:val="heading 2"/>
    <w:basedOn w:val="Normal"/>
    <w:next w:val="Normal"/>
    <w:qFormat/>
    <w:pPr>
      <w:numPr>
        <w:ilvl w:val="1"/>
        <w:numId w:val="1"/>
      </w:numPr>
      <w:ind w:hanging="709" w:start="0" w:end="0"/>
      <w:outlineLvl w:val="1"/>
    </w:pPr>
    <w:rPr>
      <w:b/>
    </w:rPr>
  </w:style>
  <w:style w:type="paragraph" w:styleId="Heading3">
    <w:name w:val="heading 3"/>
    <w:basedOn w:val="Normal"/>
    <w:next w:val="Normal"/>
    <w:qFormat/>
    <w:pPr>
      <w:numPr>
        <w:ilvl w:val="2"/>
        <w:numId w:val="1"/>
      </w:numPr>
      <w:ind w:hanging="709" w:start="0" w:end="0"/>
      <w:outlineLvl w:val="2"/>
    </w:pPr>
    <w:rPr/>
  </w:style>
  <w:style w:type="paragraph" w:styleId="Heading4">
    <w:name w:val="heading 4"/>
    <w:basedOn w:val="Normal"/>
    <w:next w:val="Normal"/>
    <w:qFormat/>
    <w:pPr>
      <w:numPr>
        <w:ilvl w:val="3"/>
        <w:numId w:val="1"/>
      </w:numPr>
      <w:ind w:hanging="709" w:start="0" w:end="0"/>
      <w:outlineLvl w:val="3"/>
    </w:pPr>
    <w:rPr/>
  </w:style>
  <w:style w:type="paragraph" w:styleId="Heading5">
    <w:name w:val="heading 5"/>
    <w:basedOn w:val="Normal"/>
    <w:next w:val="Normal"/>
    <w:qFormat/>
    <w:pPr>
      <w:numPr>
        <w:ilvl w:val="4"/>
        <w:numId w:val="1"/>
      </w:numPr>
      <w:ind w:hanging="709" w:start="0" w:end="0"/>
      <w:outlineLvl w:val="4"/>
    </w:pPr>
    <w:rPr/>
  </w:style>
  <w:style w:type="paragraph" w:styleId="Heading6">
    <w:name w:val="heading 6"/>
    <w:basedOn w:val="Normal"/>
    <w:next w:val="Normal"/>
    <w:qFormat/>
    <w:pPr>
      <w:numPr>
        <w:ilvl w:val="5"/>
        <w:numId w:val="1"/>
      </w:numPr>
      <w:ind w:hanging="709" w:start="0" w:end="0"/>
      <w:outlineLvl w:val="5"/>
    </w:pPr>
    <w:rPr/>
  </w:style>
  <w:style w:type="paragraph" w:styleId="Heading7">
    <w:name w:val="heading 7"/>
    <w:basedOn w:val="Normal"/>
    <w:next w:val="Normal"/>
    <w:qFormat/>
    <w:pPr>
      <w:numPr>
        <w:ilvl w:val="6"/>
        <w:numId w:val="1"/>
      </w:numPr>
      <w:ind w:hanging="709" w:start="0" w:end="0"/>
      <w:outlineLvl w:val="6"/>
    </w:pPr>
    <w:rPr/>
  </w:style>
  <w:style w:type="paragraph" w:styleId="Heading8">
    <w:name w:val="heading 8"/>
    <w:basedOn w:val="Normal"/>
    <w:next w:val="Normal"/>
    <w:qFormat/>
    <w:pPr>
      <w:numPr>
        <w:ilvl w:val="7"/>
        <w:numId w:val="1"/>
      </w:numPr>
      <w:ind w:hanging="709" w:start="0" w:end="0"/>
      <w:outlineLvl w:val="7"/>
    </w:pPr>
    <w:rPr/>
  </w:style>
  <w:style w:type="paragraph" w:styleId="Heading9">
    <w:name w:val="heading 9"/>
    <w:basedOn w:val="Normal"/>
    <w:next w:val="Normal"/>
    <w:qFormat/>
    <w:pPr>
      <w:numPr>
        <w:ilvl w:val="8"/>
        <w:numId w:val="1"/>
      </w:numPr>
      <w:ind w:hanging="709" w:start="0" w:end="0"/>
      <w:outlineLvl w:val="8"/>
    </w:pPr>
    <w:rPr/>
  </w:style>
  <w:style w:type="character" w:styleId="DefaultParagraphFont">
    <w:name w:val="Default Paragraph Font"/>
    <w:qFormat/>
    <w:rPr/>
  </w:style>
  <w:style w:type="character" w:styleId="FootnoteCharacters">
    <w:name w:val="Footnote Characters"/>
    <w:basedOn w:val="DefaultParagraphFont"/>
    <w:qFormat/>
    <w:rPr>
      <w:b/>
      <w:color w:val="auto"/>
      <w:kern w:val="2"/>
      <w:sz w:val="14"/>
      <w:u w:val="none"/>
      <w:vertAlign w:val="superscript"/>
    </w:rPr>
  </w:style>
  <w:style w:type="character" w:styleId="PageNumber">
    <w:name w:val="page number"/>
    <w:basedOn w:val="DefaultParagraphFont"/>
    <w:rPr>
      <w:color w:val="auto"/>
      <w:kern w:val="2"/>
      <w:u w:val="none"/>
    </w:rPr>
  </w:style>
  <w:style w:type="character" w:styleId="CommentReference">
    <w:name w:val="Comment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paragraph" w:styleId="Heading">
    <w:name w:val="Heading"/>
    <w:basedOn w:val="Normal"/>
    <w:next w:val="Normal"/>
    <w:qFormat/>
    <w:pPr>
      <w:keepNext w:val="true"/>
      <w:keepLines/>
    </w:pPr>
    <w:rPr/>
  </w:style>
  <w:style w:type="paragraph" w:styleId="BodyText">
    <w:name w:val="Body Text"/>
    <w:basedOn w:val="Normal"/>
    <w:pPr>
      <w:spacing w:before="0" w:after="120"/>
    </w:pPr>
    <w:rPr>
      <w:kern w:val="2"/>
    </w:rPr>
  </w:style>
  <w:style w:type="paragraph" w:styleId="List">
    <w:name w:val="List"/>
    <w:basedOn w:val="Normal"/>
    <w:pPr>
      <w:ind w:hanging="283" w:start="283" w:end="0"/>
    </w:pPr>
    <w:rPr>
      <w:kern w:val="2"/>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noteText">
    <w:name w:val="footnote text"/>
    <w:basedOn w:val="Normal"/>
    <w:pPr>
      <w:spacing w:lineRule="atLeast" w:line="220" w:before="0" w:after="200"/>
      <w:ind w:hanging="170" w:start="170" w:end="0"/>
    </w:pPr>
    <w:rPr>
      <w:kern w:val="2"/>
      <w:sz w:val="16"/>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kern w:val="2"/>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kern w:val="2"/>
    </w:rPr>
  </w:style>
  <w:style w:type="paragraph" w:styleId="Quote">
    <w:name w:val="Quote"/>
    <w:basedOn w:val="Normal"/>
    <w:next w:val="Normal"/>
    <w:qFormat/>
    <w:pPr>
      <w:spacing w:lineRule="atLeast" w:line="240"/>
      <w:ind w:hanging="0" w:start="1418" w:end="0"/>
    </w:pPr>
    <w:rPr/>
  </w:style>
  <w:style w:type="paragraph" w:styleId="BackSheet">
    <w:name w:val="BackSheet"/>
    <w:basedOn w:val="Normal"/>
    <w:qFormat/>
    <w:pPr>
      <w:ind w:hanging="0" w:start="4253" w:end="0"/>
    </w:pPr>
    <w:rPr>
      <w:kern w:val="2"/>
    </w:rPr>
  </w:style>
  <w:style w:type="paragraph" w:styleId="FrontSheet">
    <w:name w:val="FrontSheet"/>
    <w:basedOn w:val="Normal"/>
    <w:qFormat/>
    <w:pPr/>
    <w:rPr>
      <w:kern w:val="2"/>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CommentText">
    <w:name w:val="Comment Text"/>
    <w:basedOn w:val="Normal"/>
    <w:qFormat/>
    <w:pPr>
      <w:spacing w:lineRule="atLeast" w:line="220" w:before="0" w:after="200"/>
      <w:ind w:hanging="170" w:start="170" w:end="0"/>
    </w:pPr>
    <w:rPr>
      <w:sz w:val="16"/>
    </w:rPr>
  </w:style>
  <w:style w:type="paragraph" w:styleId="BodyTextIndent">
    <w:name w:val="Body Text Indent"/>
    <w:basedOn w:val="Normal"/>
    <w:pPr>
      <w:spacing w:before="0" w:after="120"/>
      <w:ind w:hanging="0" w:start="283" w:end="0"/>
    </w:pPr>
    <w:rPr>
      <w:kern w:val="2"/>
    </w:rPr>
  </w:style>
  <w:style w:type="paragraph" w:styleId="Closing">
    <w:name w:val="Closing"/>
    <w:basedOn w:val="Normal"/>
    <w:qFormat/>
    <w:pPr>
      <w:ind w:hanging="0" w:start="4252" w:end="0"/>
    </w:pPr>
    <w:rPr>
      <w:kern w:val="2"/>
    </w:rPr>
  </w:style>
  <w:style w:type="paragraph" w:styleId="EndnoteText">
    <w:name w:val="endnote text"/>
    <w:basedOn w:val="Normal"/>
    <w:pPr>
      <w:spacing w:lineRule="atLeast" w:line="220" w:before="0" w:after="200"/>
      <w:ind w:hanging="170" w:start="170" w:end="0"/>
    </w:pPr>
    <w:rPr>
      <w:sz w:val="16"/>
    </w:rPr>
  </w:style>
  <w:style w:type="paragraph" w:styleId="EnvelopeAddress">
    <w:name w:val="envelope address"/>
    <w:basedOn w:val="Normal"/>
    <w:pPr>
      <w:ind w:hanging="0" w:start="2880" w:end="0"/>
    </w:pPr>
    <w:rPr>
      <w:kern w:val="2"/>
      <w:sz w:val="24"/>
    </w:rPr>
  </w:style>
  <w:style w:type="paragraph" w:styleId="EnvelopeReturn">
    <w:name w:val="envelope return"/>
    <w:basedOn w:val="Normal"/>
    <w:pPr/>
    <w:rPr>
      <w:kern w:val="2"/>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400" w:end="0"/>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kern w:val="2"/>
    </w:rPr>
  </w:style>
  <w:style w:type="paragraph" w:styleId="ListBullet2">
    <w:name w:val="List Bullet 2"/>
    <w:basedOn w:val="Normal"/>
    <w:pPr>
      <w:ind w:hanging="283" w:start="566" w:end="0"/>
    </w:pPr>
    <w:rPr>
      <w:kern w:val="2"/>
    </w:rPr>
  </w:style>
  <w:style w:type="paragraph" w:styleId="ListBullet3">
    <w:name w:val="List Bullet 3"/>
    <w:basedOn w:val="Normal"/>
    <w:pPr>
      <w:ind w:hanging="283" w:start="849" w:end="0"/>
    </w:pPr>
    <w:rPr>
      <w:kern w:val="2"/>
    </w:rPr>
  </w:style>
  <w:style w:type="paragraph" w:styleId="ListBullet4">
    <w:name w:val="List Bullet 4"/>
    <w:basedOn w:val="Normal"/>
    <w:pPr>
      <w:ind w:hanging="283" w:start="1132" w:end="0"/>
    </w:pPr>
    <w:rPr>
      <w:kern w:val="2"/>
    </w:rPr>
  </w:style>
  <w:style w:type="paragraph" w:styleId="ListBullet5">
    <w:name w:val="List Bullet 5"/>
    <w:basedOn w:val="Normal"/>
    <w:pPr>
      <w:ind w:hanging="283" w:start="1415" w:end="0"/>
    </w:pPr>
    <w:rPr>
      <w:kern w:val="2"/>
    </w:rPr>
  </w:style>
  <w:style w:type="paragraph" w:styleId="ListBullet">
    <w:name w:val="List Bullet"/>
    <w:basedOn w:val="Normal"/>
    <w:qFormat/>
    <w:pPr>
      <w:numPr>
        <w:ilvl w:val="0"/>
        <w:numId w:val="2"/>
      </w:numPr>
      <w:ind w:hanging="283" w:start="283" w:end="0"/>
    </w:pPr>
    <w:rPr>
      <w:kern w:val="2"/>
    </w:rPr>
  </w:style>
  <w:style w:type="paragraph" w:styleId="ListBullet21">
    <w:name w:val="List Bullet 21"/>
    <w:basedOn w:val="Normal"/>
    <w:qFormat/>
    <w:pPr>
      <w:numPr>
        <w:ilvl w:val="0"/>
        <w:numId w:val="3"/>
      </w:numPr>
      <w:ind w:hanging="283" w:start="566" w:end="0"/>
    </w:pPr>
    <w:rPr>
      <w:kern w:val="2"/>
    </w:rPr>
  </w:style>
  <w:style w:type="paragraph" w:styleId="ListBullet31">
    <w:name w:val="List Bullet 31"/>
    <w:basedOn w:val="Normal"/>
    <w:qFormat/>
    <w:pPr>
      <w:numPr>
        <w:ilvl w:val="0"/>
        <w:numId w:val="4"/>
      </w:numPr>
      <w:ind w:hanging="283" w:start="849" w:end="0"/>
    </w:pPr>
    <w:rPr>
      <w:kern w:val="2"/>
    </w:rPr>
  </w:style>
  <w:style w:type="paragraph" w:styleId="ListBullet41">
    <w:name w:val="List Bullet 41"/>
    <w:basedOn w:val="Normal"/>
    <w:qFormat/>
    <w:pPr>
      <w:numPr>
        <w:ilvl w:val="0"/>
        <w:numId w:val="5"/>
      </w:numPr>
      <w:ind w:hanging="283" w:start="1132" w:end="0"/>
    </w:pPr>
    <w:rPr>
      <w:kern w:val="2"/>
    </w:rPr>
  </w:style>
  <w:style w:type="paragraph" w:styleId="ListBullet51">
    <w:name w:val="List Bullet 51"/>
    <w:basedOn w:val="Normal"/>
    <w:qFormat/>
    <w:pPr>
      <w:numPr>
        <w:ilvl w:val="0"/>
        <w:numId w:val="6"/>
      </w:numPr>
      <w:ind w:hanging="283" w:start="1415" w:end="0"/>
    </w:pPr>
    <w:rPr>
      <w:kern w:val="2"/>
    </w:rPr>
  </w:style>
  <w:style w:type="paragraph" w:styleId="ListContinue">
    <w:name w:val="List Continue"/>
    <w:basedOn w:val="Normal"/>
    <w:qFormat/>
    <w:pPr>
      <w:spacing w:before="0" w:after="120"/>
      <w:ind w:hanging="0" w:start="283" w:end="0"/>
    </w:pPr>
    <w:rPr>
      <w:kern w:val="2"/>
    </w:rPr>
  </w:style>
  <w:style w:type="paragraph" w:styleId="ListContinue2">
    <w:name w:val="List Continue 2"/>
    <w:basedOn w:val="Normal"/>
    <w:qFormat/>
    <w:pPr>
      <w:spacing w:before="0" w:after="120"/>
      <w:ind w:hanging="0" w:start="566" w:end="0"/>
    </w:pPr>
    <w:rPr>
      <w:kern w:val="2"/>
    </w:rPr>
  </w:style>
  <w:style w:type="paragraph" w:styleId="ListContinue3">
    <w:name w:val="List Continue 3"/>
    <w:basedOn w:val="Normal"/>
    <w:qFormat/>
    <w:pPr>
      <w:spacing w:before="0" w:after="120"/>
      <w:ind w:hanging="0" w:start="849" w:end="0"/>
    </w:pPr>
    <w:rPr>
      <w:kern w:val="2"/>
    </w:rPr>
  </w:style>
  <w:style w:type="paragraph" w:styleId="ListContinue4">
    <w:name w:val="List Continue 4"/>
    <w:basedOn w:val="Normal"/>
    <w:qFormat/>
    <w:pPr>
      <w:spacing w:before="0" w:after="120"/>
      <w:ind w:hanging="0" w:start="1132" w:end="0"/>
    </w:pPr>
    <w:rPr>
      <w:kern w:val="2"/>
    </w:rPr>
  </w:style>
  <w:style w:type="paragraph" w:styleId="ListContinue5">
    <w:name w:val="List Continue 5"/>
    <w:basedOn w:val="Normal"/>
    <w:qFormat/>
    <w:pPr>
      <w:spacing w:before="0" w:after="120"/>
      <w:ind w:hanging="0" w:start="1415" w:end="0"/>
    </w:pPr>
    <w:rPr>
      <w:kern w:val="2"/>
    </w:rPr>
  </w:style>
  <w:style w:type="paragraph" w:styleId="ListNumber">
    <w:name w:val="List Number"/>
    <w:basedOn w:val="Normal"/>
    <w:qFormat/>
    <w:pPr>
      <w:numPr>
        <w:ilvl w:val="0"/>
        <w:numId w:val="7"/>
      </w:numPr>
      <w:ind w:hanging="283" w:start="283" w:end="0"/>
    </w:pPr>
    <w:rPr>
      <w:kern w:val="2"/>
    </w:rPr>
  </w:style>
  <w:style w:type="paragraph" w:styleId="ListNumber2">
    <w:name w:val="List Number 2"/>
    <w:basedOn w:val="Normal"/>
    <w:qFormat/>
    <w:pPr>
      <w:numPr>
        <w:ilvl w:val="0"/>
        <w:numId w:val="8"/>
      </w:numPr>
      <w:ind w:hanging="283" w:start="566" w:end="0"/>
    </w:pPr>
    <w:rPr>
      <w:kern w:val="2"/>
    </w:rPr>
  </w:style>
  <w:style w:type="paragraph" w:styleId="ListNumber3">
    <w:name w:val="List Number 3"/>
    <w:basedOn w:val="Normal"/>
    <w:qFormat/>
    <w:pPr>
      <w:numPr>
        <w:ilvl w:val="0"/>
        <w:numId w:val="9"/>
      </w:numPr>
      <w:ind w:hanging="283" w:start="849" w:end="0"/>
    </w:pPr>
    <w:rPr>
      <w:kern w:val="2"/>
    </w:rPr>
  </w:style>
  <w:style w:type="paragraph" w:styleId="ListNumber4">
    <w:name w:val="List Number 4"/>
    <w:basedOn w:val="Normal"/>
    <w:qFormat/>
    <w:pPr>
      <w:numPr>
        <w:ilvl w:val="0"/>
        <w:numId w:val="10"/>
      </w:numPr>
      <w:ind w:hanging="283" w:start="1132" w:end="0"/>
    </w:pPr>
    <w:rPr>
      <w:kern w:val="2"/>
    </w:rPr>
  </w:style>
  <w:style w:type="paragraph" w:styleId="ListNumber5">
    <w:name w:val="List Number 5"/>
    <w:basedOn w:val="Normal"/>
    <w:qFormat/>
    <w:pPr>
      <w:numPr>
        <w:ilvl w:val="0"/>
        <w:numId w:val="11"/>
      </w:numPr>
      <w:ind w:hanging="283" w:start="1415" w:end="0"/>
    </w:pPr>
    <w:rPr>
      <w:kern w:val="2"/>
    </w:rPr>
  </w:style>
  <w:style w:type="paragraph" w:styleId="MessageHeader">
    <w:name w:val="Message Header"/>
    <w:basedOn w:val="Normal"/>
    <w:qFormat/>
    <w:pPr>
      <w:ind w:hanging="1134" w:start="1134" w:end="0"/>
    </w:pPr>
    <w:rPr>
      <w:rFonts w:ascii="Arial" w:hAnsi="Arial" w:cs="Arial"/>
      <w:kern w:val="2"/>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
    <w:name w:val="Title"/>
    <w:basedOn w:val="Normal"/>
    <w:next w:val="BodyText"/>
    <w:qFormat/>
    <w:pPr>
      <w:spacing w:before="240" w:after="60"/>
      <w:jc w:val="center"/>
    </w:pPr>
    <w:rPr>
      <w:rFonts w:ascii="Arial" w:hAnsi="Arial" w:cs="Arial"/>
      <w:b/>
      <w:sz w:val="32"/>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TitleTOC">
    <w:name w:val="TitleTOC"/>
    <w:basedOn w:val="Normal"/>
    <w:qFormat/>
    <w:pPr>
      <w:jc w:val="center"/>
    </w:pPr>
    <w:rPr>
      <w:b/>
    </w:rPr>
  </w:style>
  <w:style w:type="paragraph" w:styleId="BodyText2">
    <w:name w:val="Body Text 2"/>
    <w:basedOn w:val="Normal"/>
    <w:qFormat/>
    <w:pPr>
      <w:tabs>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uto" w:line="240" w:before="0" w:after="120"/>
      <w:jc w:val="both"/>
    </w:pPr>
    <w:rPr>
      <w:sz w:val="18"/>
    </w:rPr>
  </w:style>
  <w:style w:type="paragraph" w:styleId="BodyTextIndent2">
    <w:name w:val="Body Text Indent 2"/>
    <w:basedOn w:val="Normal"/>
    <w:qFormat/>
    <w:pPr>
      <w:tabs>
        <w:tab w:val="clear" w:pos="709"/>
        <w:tab w:val="clear" w:pos="1418"/>
        <w:tab w:val="clear" w:pos="2126"/>
        <w:tab w:val="clear" w:pos="2835"/>
        <w:tab w:val="clear" w:pos="3544"/>
        <w:tab w:val="clear" w:pos="4253"/>
        <w:tab w:val="clear" w:pos="4961"/>
        <w:tab w:val="clear" w:pos="5670"/>
        <w:tab w:val="clear" w:pos="8363"/>
      </w:tabs>
      <w:spacing w:lineRule="auto" w:line="240" w:before="0" w:after="0"/>
      <w:ind w:hanging="709" w:start="709" w:end="0"/>
    </w:pPr>
    <w:rPr>
      <w:rFonts w:ascii="Arial Narrow" w:hAnsi="Arial Narrow" w:cs="Arial Narrow"/>
      <w:kern w:val="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1999-06-22T11:31:00Z</dcterms:created>
  <dc:creator>Martin Rosell</dc:creator>
  <dc:description/>
  <dc:language>en-CA</dc:language>
  <cp:lastModifiedBy>Martin Rosell</cp:lastModifiedBy>
  <cp:lastPrinted>1999-06-22T14:49:00Z</cp:lastPrinted>
  <dcterms:modified xsi:type="dcterms:W3CDTF">1999-06-22T11:32:00Z</dcterms:modified>
  <cp:revision>3</cp:revision>
  <dc:subject/>
  <dc:title>This Master Agreement is entered into as of ________________,  between ___________________________, a _________ organised under the laws of ____________________ (hereinafter “Party A”) and ___________________________ a __________ organised under the laws</dc:title>
</cp:coreProperties>
</file>